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0781" w14:textId="77777777" w:rsidR="001C7A84" w:rsidRDefault="001C7A84" w:rsidP="001C7A84">
      <w:pPr>
        <w:pStyle w:val="Default"/>
        <w:tabs>
          <w:tab w:val="left" w:pos="2880"/>
        </w:tabs>
        <w:ind w:left="2880" w:hanging="2880"/>
        <w:rPr>
          <w:rFonts w:ascii="Arial" w:hAnsi="Arial" w:cs="Arial"/>
          <w:b/>
          <w:color w:val="auto"/>
        </w:rPr>
      </w:pPr>
    </w:p>
    <w:p w14:paraId="5A10AA1E" w14:textId="77777777" w:rsidR="001C7A84" w:rsidRDefault="001C7A84" w:rsidP="001C7A84">
      <w:pPr>
        <w:pStyle w:val="Default"/>
        <w:tabs>
          <w:tab w:val="left" w:pos="2880"/>
        </w:tabs>
        <w:ind w:left="2880" w:hanging="2880"/>
        <w:rPr>
          <w:rFonts w:ascii="Arial" w:hAnsi="Arial" w:cs="Arial"/>
          <w:b/>
          <w:color w:val="auto"/>
        </w:rPr>
      </w:pPr>
    </w:p>
    <w:p w14:paraId="4C5B1AF6" w14:textId="77777777" w:rsidR="001C7A84" w:rsidRDefault="001C7A84" w:rsidP="001C7A84">
      <w:pPr>
        <w:pStyle w:val="Default"/>
        <w:tabs>
          <w:tab w:val="left" w:pos="2880"/>
        </w:tabs>
        <w:ind w:left="2880" w:hanging="2880"/>
        <w:rPr>
          <w:rFonts w:ascii="Arial" w:hAnsi="Arial" w:cs="Arial"/>
          <w:b/>
          <w:color w:val="auto"/>
        </w:rPr>
      </w:pPr>
    </w:p>
    <w:p w14:paraId="05BBF62C" w14:textId="43DCCC51" w:rsidR="00576174" w:rsidRPr="00576174" w:rsidRDefault="00610624" w:rsidP="00576174">
      <w:pPr>
        <w:ind w:left="0"/>
        <w:rPr>
          <w:rFonts w:eastAsia="Avenir"/>
        </w:rPr>
      </w:pPr>
      <w:r w:rsidRPr="001B516A">
        <w:rPr>
          <w:b/>
          <w:color w:val="auto"/>
        </w:rPr>
        <w:t xml:space="preserve">Study </w:t>
      </w:r>
      <w:r w:rsidR="00457286" w:rsidRPr="001B516A">
        <w:rPr>
          <w:b/>
          <w:color w:val="auto"/>
        </w:rPr>
        <w:t>Title</w:t>
      </w:r>
      <w:r>
        <w:rPr>
          <w:color w:val="auto"/>
        </w:rPr>
        <w:t>:</w:t>
      </w:r>
      <w:r w:rsidR="00576174">
        <w:rPr>
          <w:color w:val="auto"/>
        </w:rPr>
        <w:t xml:space="preserve"> </w:t>
      </w:r>
      <w:r w:rsidR="002E28C5" w:rsidRPr="006A599B">
        <w:rPr>
          <w:rFonts w:ascii="Helvetica" w:hAnsi="Helvetica" w:cs="Helvetica Neue"/>
          <w:color w:val="000000"/>
        </w:rPr>
        <w:t>Trauma Institutional Priorities and Teams for Outcome Efficacy (TIPTOE)</w:t>
      </w:r>
    </w:p>
    <w:p w14:paraId="5E2635F1" w14:textId="16DF9755" w:rsidR="00BA3D07" w:rsidRPr="00A45A78" w:rsidRDefault="001C7A84" w:rsidP="001C7A84">
      <w:pPr>
        <w:pStyle w:val="Default"/>
        <w:tabs>
          <w:tab w:val="left" w:pos="2880"/>
        </w:tabs>
        <w:ind w:left="2880" w:hanging="2880"/>
        <w:rPr>
          <w:rFonts w:ascii="Arial" w:hAnsi="Arial" w:cs="Arial"/>
        </w:rPr>
      </w:pPr>
      <w:r>
        <w:rPr>
          <w:rFonts w:ascii="Arial" w:hAnsi="Arial" w:cs="Arial"/>
          <w:color w:val="auto"/>
        </w:rPr>
        <w:tab/>
      </w:r>
    </w:p>
    <w:p w14:paraId="7AF051F0" w14:textId="77777777" w:rsidR="001C7A84" w:rsidRPr="00A45A78" w:rsidRDefault="001C7A84" w:rsidP="001C7A84">
      <w:pPr>
        <w:pStyle w:val="Default"/>
        <w:tabs>
          <w:tab w:val="left" w:pos="2880"/>
        </w:tabs>
        <w:ind w:left="2880" w:hanging="2880"/>
        <w:rPr>
          <w:rFonts w:ascii="Arial" w:hAnsi="Arial" w:cs="Arial"/>
          <w:color w:val="auto"/>
        </w:rPr>
      </w:pPr>
    </w:p>
    <w:p w14:paraId="708459E6" w14:textId="05E9AF61" w:rsidR="001C7A84" w:rsidRPr="00A45A78" w:rsidRDefault="00457286" w:rsidP="001C7A84">
      <w:pPr>
        <w:pStyle w:val="Default"/>
        <w:tabs>
          <w:tab w:val="left" w:pos="2880"/>
        </w:tabs>
        <w:ind w:left="2880" w:hanging="2880"/>
        <w:rPr>
          <w:rFonts w:ascii="Arial" w:hAnsi="Arial" w:cs="Arial"/>
          <w:i/>
          <w:color w:val="auto"/>
        </w:rPr>
      </w:pPr>
      <w:r w:rsidRPr="00A45A78">
        <w:rPr>
          <w:rFonts w:ascii="Arial" w:hAnsi="Arial" w:cs="Arial"/>
          <w:b/>
          <w:color w:val="auto"/>
        </w:rPr>
        <w:t>Principal Investigator</w:t>
      </w:r>
      <w:r w:rsidR="00BA3D07" w:rsidRPr="00A45A78">
        <w:rPr>
          <w:rFonts w:ascii="Arial" w:hAnsi="Arial" w:cs="Arial"/>
          <w:color w:val="auto"/>
        </w:rPr>
        <w:t xml:space="preserve">: </w:t>
      </w:r>
      <w:r w:rsidR="00BA3D07" w:rsidRPr="00A45A78">
        <w:rPr>
          <w:rFonts w:ascii="Arial" w:hAnsi="Arial" w:cs="Arial"/>
          <w:color w:val="auto"/>
        </w:rPr>
        <w:tab/>
      </w:r>
      <w:r w:rsidR="00576174">
        <w:rPr>
          <w:rFonts w:ascii="Arial" w:hAnsi="Arial" w:cs="Arial"/>
          <w:iCs/>
          <w:color w:val="auto"/>
        </w:rPr>
        <w:t>Dr. Kevin Sexton</w:t>
      </w:r>
    </w:p>
    <w:p w14:paraId="2079B42F" w14:textId="77777777" w:rsidR="001C7A84" w:rsidRPr="00A45A78" w:rsidRDefault="00FB3795" w:rsidP="00736952">
      <w:pPr>
        <w:pStyle w:val="Default"/>
        <w:tabs>
          <w:tab w:val="left" w:pos="2880"/>
        </w:tabs>
        <w:ind w:left="2880"/>
        <w:rPr>
          <w:rFonts w:ascii="Arial" w:hAnsi="Arial" w:cs="Arial"/>
          <w:color w:val="auto"/>
        </w:rPr>
      </w:pPr>
      <w:r w:rsidRPr="00A45A78">
        <w:rPr>
          <w:rFonts w:ascii="Arial" w:hAnsi="Arial" w:cs="Arial"/>
          <w:color w:val="auto"/>
        </w:rPr>
        <w:t>University of Arkansas for Medical Sciences</w:t>
      </w:r>
    </w:p>
    <w:p w14:paraId="78022AA4" w14:textId="069CD4F8" w:rsidR="001C7A84" w:rsidRPr="00A45A78" w:rsidRDefault="00934442" w:rsidP="00736952">
      <w:pPr>
        <w:pStyle w:val="Default"/>
        <w:tabs>
          <w:tab w:val="left" w:pos="2880"/>
        </w:tabs>
        <w:ind w:left="2880"/>
        <w:rPr>
          <w:rFonts w:ascii="Arial" w:hAnsi="Arial" w:cs="Arial"/>
          <w:color w:val="auto"/>
        </w:rPr>
      </w:pPr>
      <w:r w:rsidRPr="00A45A78">
        <w:rPr>
          <w:rFonts w:ascii="Arial" w:hAnsi="Arial" w:cs="Arial"/>
          <w:color w:val="auto"/>
        </w:rPr>
        <w:t>4301 W. Markham Street</w:t>
      </w:r>
    </w:p>
    <w:p w14:paraId="062ABEEE" w14:textId="77777777" w:rsidR="00934442" w:rsidRPr="00A45A78" w:rsidRDefault="00934442" w:rsidP="00736952">
      <w:pPr>
        <w:pStyle w:val="Default"/>
        <w:tabs>
          <w:tab w:val="left" w:pos="2880"/>
        </w:tabs>
        <w:ind w:left="2880"/>
        <w:rPr>
          <w:rFonts w:ascii="Arial" w:hAnsi="Arial" w:cs="Arial"/>
          <w:color w:val="auto"/>
        </w:rPr>
      </w:pPr>
      <w:r w:rsidRPr="00A45A78">
        <w:rPr>
          <w:rFonts w:ascii="Arial" w:hAnsi="Arial" w:cs="Arial"/>
          <w:color w:val="auto"/>
        </w:rPr>
        <w:t>Little Rock, AR 72205</w:t>
      </w:r>
    </w:p>
    <w:p w14:paraId="30EB72EC" w14:textId="35FF3B5F" w:rsidR="001C7A84" w:rsidRPr="00576174" w:rsidRDefault="001C7A84" w:rsidP="00736952">
      <w:pPr>
        <w:pStyle w:val="Default"/>
        <w:tabs>
          <w:tab w:val="left" w:pos="2880"/>
        </w:tabs>
        <w:ind w:left="2880"/>
        <w:rPr>
          <w:rFonts w:ascii="Arial" w:hAnsi="Arial" w:cs="Arial"/>
          <w:i/>
          <w:color w:val="auto"/>
        </w:rPr>
      </w:pPr>
      <w:r w:rsidRPr="00A45A78">
        <w:rPr>
          <w:rFonts w:ascii="Arial" w:hAnsi="Arial" w:cs="Arial"/>
          <w:color w:val="auto"/>
        </w:rPr>
        <w:t>Telephone:</w:t>
      </w:r>
      <w:r w:rsidRPr="00A45A78">
        <w:rPr>
          <w:rFonts w:ascii="Arial" w:hAnsi="Arial" w:cs="Arial"/>
          <w:i/>
          <w:color w:val="auto"/>
        </w:rPr>
        <w:t xml:space="preserve">  </w:t>
      </w:r>
      <w:r w:rsidR="00576174" w:rsidRPr="00576174">
        <w:rPr>
          <w:rFonts w:ascii="Arial" w:hAnsi="Arial" w:cs="Arial"/>
          <w:iCs/>
          <w:color w:val="auto"/>
        </w:rPr>
        <w:t>501.526.6262</w:t>
      </w:r>
    </w:p>
    <w:p w14:paraId="53A4A5FE" w14:textId="79E67B51" w:rsidR="001C7A84" w:rsidRPr="00A45A78" w:rsidRDefault="001C7A84" w:rsidP="00736952">
      <w:pPr>
        <w:pStyle w:val="Default"/>
        <w:tabs>
          <w:tab w:val="left" w:pos="2880"/>
        </w:tabs>
        <w:ind w:left="2880"/>
        <w:rPr>
          <w:rFonts w:ascii="Arial" w:hAnsi="Arial" w:cs="Arial"/>
          <w:color w:val="auto"/>
        </w:rPr>
      </w:pPr>
      <w:r w:rsidRPr="00A45A78">
        <w:rPr>
          <w:rFonts w:ascii="Arial" w:hAnsi="Arial" w:cs="Arial"/>
          <w:color w:val="auto"/>
        </w:rPr>
        <w:t>Email:</w:t>
      </w:r>
      <w:r w:rsidRPr="00A45A78">
        <w:rPr>
          <w:rFonts w:ascii="Arial" w:hAnsi="Arial" w:cs="Arial"/>
          <w:i/>
          <w:color w:val="auto"/>
        </w:rPr>
        <w:t xml:space="preserve">  </w:t>
      </w:r>
      <w:r w:rsidR="00576174">
        <w:rPr>
          <w:rFonts w:ascii="Arial" w:hAnsi="Arial" w:cs="Arial"/>
          <w:iCs/>
          <w:color w:val="auto"/>
        </w:rPr>
        <w:t>kevin.sexton@uams.edu</w:t>
      </w:r>
    </w:p>
    <w:p w14:paraId="75B2C9D5" w14:textId="77777777" w:rsidR="001C7A84" w:rsidRPr="00A45A78" w:rsidRDefault="001C7A84" w:rsidP="001C7A84">
      <w:pPr>
        <w:pStyle w:val="Default"/>
        <w:tabs>
          <w:tab w:val="left" w:pos="2880"/>
        </w:tabs>
        <w:rPr>
          <w:rFonts w:ascii="Arial" w:hAnsi="Arial" w:cs="Arial"/>
          <w:color w:val="auto"/>
        </w:rPr>
      </w:pPr>
    </w:p>
    <w:p w14:paraId="7A05D98C" w14:textId="77777777" w:rsidR="00576174" w:rsidRPr="00A45A78" w:rsidRDefault="00BA3D07" w:rsidP="00576174">
      <w:pPr>
        <w:pStyle w:val="Default"/>
        <w:tabs>
          <w:tab w:val="left" w:pos="2880"/>
        </w:tabs>
        <w:rPr>
          <w:rFonts w:ascii="Arial" w:hAnsi="Arial" w:cs="Arial"/>
          <w:color w:val="auto"/>
        </w:rPr>
      </w:pPr>
      <w:r w:rsidRPr="00A45A78">
        <w:rPr>
          <w:rFonts w:ascii="Arial" w:hAnsi="Arial" w:cs="Arial"/>
          <w:b/>
          <w:color w:val="auto"/>
        </w:rPr>
        <w:t>S</w:t>
      </w:r>
      <w:r w:rsidR="00457286" w:rsidRPr="00A45A78">
        <w:rPr>
          <w:rFonts w:ascii="Arial" w:hAnsi="Arial" w:cs="Arial"/>
          <w:b/>
          <w:color w:val="auto"/>
        </w:rPr>
        <w:t>tudy location</w:t>
      </w:r>
      <w:r w:rsidR="00610624" w:rsidRPr="00A45A78">
        <w:rPr>
          <w:rFonts w:ascii="Arial" w:hAnsi="Arial" w:cs="Arial"/>
          <w:color w:val="auto"/>
        </w:rPr>
        <w:t>:</w:t>
      </w:r>
      <w:r w:rsidR="001C7A84" w:rsidRPr="00A45A78">
        <w:rPr>
          <w:rFonts w:ascii="Arial" w:hAnsi="Arial" w:cs="Arial"/>
          <w:color w:val="auto"/>
        </w:rPr>
        <w:tab/>
      </w:r>
      <w:r w:rsidR="00576174" w:rsidRPr="00A45A78">
        <w:rPr>
          <w:rFonts w:ascii="Arial" w:hAnsi="Arial" w:cs="Arial"/>
          <w:color w:val="auto"/>
        </w:rPr>
        <w:t>University of Arkansas for Medical Sciences</w:t>
      </w:r>
    </w:p>
    <w:p w14:paraId="4D77DB86" w14:textId="13FC5338" w:rsidR="00576174" w:rsidRPr="00A45A78" w:rsidRDefault="00576174" w:rsidP="00576174">
      <w:pPr>
        <w:pStyle w:val="Default"/>
        <w:tabs>
          <w:tab w:val="left" w:pos="2880"/>
        </w:tabs>
        <w:rPr>
          <w:rFonts w:ascii="Arial" w:hAnsi="Arial" w:cs="Arial"/>
          <w:color w:val="auto"/>
        </w:rPr>
      </w:pPr>
      <w:r w:rsidRPr="00A45A78">
        <w:rPr>
          <w:rFonts w:ascii="Arial" w:hAnsi="Arial" w:cs="Arial"/>
          <w:color w:val="auto"/>
        </w:rPr>
        <w:tab/>
        <w:t>4301 W. Markham Street</w:t>
      </w:r>
    </w:p>
    <w:p w14:paraId="0A2D93B3" w14:textId="77777777" w:rsidR="00576174" w:rsidRPr="00A45A78" w:rsidRDefault="00576174" w:rsidP="00576174">
      <w:pPr>
        <w:pStyle w:val="Default"/>
        <w:tabs>
          <w:tab w:val="left" w:pos="2880"/>
        </w:tabs>
        <w:ind w:left="2880"/>
        <w:rPr>
          <w:rFonts w:ascii="Arial" w:hAnsi="Arial" w:cs="Arial"/>
          <w:color w:val="auto"/>
        </w:rPr>
      </w:pPr>
      <w:r w:rsidRPr="00A45A78">
        <w:rPr>
          <w:rFonts w:ascii="Arial" w:hAnsi="Arial" w:cs="Arial"/>
          <w:color w:val="auto"/>
        </w:rPr>
        <w:t>Little Rock, AR 72205</w:t>
      </w:r>
    </w:p>
    <w:p w14:paraId="66F5F1B4" w14:textId="118802B6" w:rsidR="00BA3D07" w:rsidRPr="00576174" w:rsidRDefault="00BA3D07" w:rsidP="001C7A84">
      <w:pPr>
        <w:pStyle w:val="Default"/>
        <w:tabs>
          <w:tab w:val="left" w:pos="2880"/>
        </w:tabs>
        <w:rPr>
          <w:rFonts w:ascii="Arial" w:hAnsi="Arial" w:cs="Arial"/>
          <w:i/>
          <w:iCs/>
          <w:color w:val="auto"/>
        </w:rPr>
      </w:pPr>
    </w:p>
    <w:p w14:paraId="04467404" w14:textId="77777777" w:rsidR="001C7A84" w:rsidRPr="001C7A84" w:rsidRDefault="001C7A84" w:rsidP="001C7A84">
      <w:pPr>
        <w:pStyle w:val="Default"/>
        <w:tabs>
          <w:tab w:val="left" w:pos="2880"/>
        </w:tabs>
        <w:rPr>
          <w:rFonts w:ascii="Arial" w:hAnsi="Arial" w:cs="Arial"/>
          <w:i/>
          <w:color w:val="auto"/>
        </w:rPr>
      </w:pPr>
      <w:r>
        <w:rPr>
          <w:rFonts w:ascii="Arial" w:hAnsi="Arial" w:cs="Arial"/>
          <w:color w:val="auto"/>
        </w:rPr>
        <w:tab/>
      </w:r>
    </w:p>
    <w:p w14:paraId="1DDD66F7" w14:textId="538B73BD" w:rsidR="001C7A84" w:rsidRDefault="001C7A84">
      <w:pPr>
        <w:rPr>
          <w:rFonts w:eastAsia="Times New Roman"/>
          <w:color w:val="auto"/>
        </w:rPr>
      </w:pPr>
      <w:r>
        <w:rPr>
          <w:color w:val="auto"/>
        </w:rPr>
        <w:br w:type="page"/>
      </w:r>
    </w:p>
    <w:p w14:paraId="51C3DD55" w14:textId="77777777" w:rsidR="009A187A" w:rsidRPr="00156E60" w:rsidRDefault="00457286" w:rsidP="00D059E6">
      <w:pPr>
        <w:spacing w:before="120" w:after="120"/>
        <w:ind w:left="0"/>
        <w:rPr>
          <w:b/>
          <w:color w:val="auto"/>
        </w:rPr>
      </w:pPr>
      <w:r w:rsidRPr="00156E60">
        <w:rPr>
          <w:b/>
          <w:color w:val="auto"/>
        </w:rPr>
        <w:lastRenderedPageBreak/>
        <w:t>Background and Rationale</w:t>
      </w:r>
    </w:p>
    <w:p w14:paraId="0EF06887" w14:textId="77777777" w:rsidR="00F511D7" w:rsidRDefault="00F511D7" w:rsidP="00F511D7">
      <w:pPr>
        <w:pStyle w:val="NormalWeb"/>
      </w:pPr>
      <w:r>
        <w:rPr>
          <w:rFonts w:ascii="ArialMT" w:hAnsi="ArialMT"/>
          <w:sz w:val="22"/>
          <w:szCs w:val="22"/>
        </w:rPr>
        <w:t>Trauma is the leading cause of death for individuals younger than age 45 and in 2017 was the third leading cause of death across all age groups in the U.S.</w:t>
      </w:r>
      <w:r>
        <w:rPr>
          <w:rFonts w:ascii="ArialMT" w:hAnsi="ArialMT"/>
          <w:position w:val="8"/>
          <w:sz w:val="14"/>
          <w:szCs w:val="14"/>
        </w:rPr>
        <w:t xml:space="preserve">13 </w:t>
      </w:r>
      <w:r>
        <w:rPr>
          <w:rFonts w:ascii="ArialMT" w:hAnsi="ArialMT"/>
          <w:sz w:val="22"/>
          <w:szCs w:val="22"/>
        </w:rPr>
        <w:t>The economic damage created through trauma amounted to $671 billion in the United States in 2013.</w:t>
      </w:r>
      <w:r>
        <w:rPr>
          <w:rFonts w:ascii="ArialMT" w:hAnsi="ArialMT"/>
          <w:position w:val="8"/>
          <w:sz w:val="14"/>
          <w:szCs w:val="14"/>
        </w:rPr>
        <w:t xml:space="preserve">1 </w:t>
      </w:r>
      <w:r>
        <w:rPr>
          <w:rFonts w:ascii="ArialMT" w:hAnsi="ArialMT"/>
          <w:sz w:val="22"/>
          <w:szCs w:val="22"/>
        </w:rPr>
        <w:t xml:space="preserve">Over the past several decades, multiple efforts, both national and international, have been undertaken to alleviate the burden of trauma, yet despite significant advances in clinical care, the number of deaths due to trauma continues to rise with a relative increase of 61% from 1980 to 2017. </w:t>
      </w:r>
    </w:p>
    <w:p w14:paraId="37E6BDF0" w14:textId="77777777" w:rsidR="00F511D7" w:rsidRDefault="00F511D7" w:rsidP="00F511D7">
      <w:pPr>
        <w:pStyle w:val="NormalWeb"/>
      </w:pPr>
      <w:r>
        <w:rPr>
          <w:rFonts w:ascii="ArialMT" w:hAnsi="ArialMT"/>
          <w:sz w:val="22"/>
          <w:szCs w:val="22"/>
        </w:rPr>
        <w:t>In the U.S., the American College of Surgeons (ACS) has led multiple efforts to improve trauma care and patient outcomes. Beginning in 1987, The ACS started a verification system recommending a tiered system of trauma centers.</w:t>
      </w:r>
      <w:r>
        <w:rPr>
          <w:rFonts w:ascii="ArialMT" w:hAnsi="ArialMT"/>
          <w:position w:val="8"/>
          <w:sz w:val="14"/>
          <w:szCs w:val="14"/>
        </w:rPr>
        <w:t xml:space="preserve">14 </w:t>
      </w:r>
      <w:r>
        <w:rPr>
          <w:rFonts w:ascii="ArialMT" w:hAnsi="ArialMT"/>
          <w:sz w:val="22"/>
          <w:szCs w:val="22"/>
        </w:rPr>
        <w:t>Evaluating the results after trauma center participation has shown that hospitals participating in the trauma designation system have superior outcomes compared to non-trauma centers.</w:t>
      </w:r>
      <w:r>
        <w:rPr>
          <w:rFonts w:ascii="ArialMT" w:hAnsi="ArialMT"/>
          <w:position w:val="8"/>
          <w:sz w:val="14"/>
          <w:szCs w:val="14"/>
        </w:rPr>
        <w:t xml:space="preserve">15 </w:t>
      </w:r>
      <w:r>
        <w:rPr>
          <w:rFonts w:ascii="ArialMT" w:hAnsi="ArialMT"/>
          <w:sz w:val="22"/>
          <w:szCs w:val="22"/>
        </w:rPr>
        <w:t xml:space="preserve">When the ACS tiered system is examined in the context of patient outcomes, including mortality, we find a knowledge gap regarding to which extent organizational features impact clinical outcomes. </w:t>
      </w:r>
    </w:p>
    <w:p w14:paraId="2A117130" w14:textId="77777777" w:rsidR="00F511D7" w:rsidRDefault="00F511D7" w:rsidP="00F511D7">
      <w:pPr>
        <w:pStyle w:val="NormalWeb"/>
      </w:pPr>
      <w:r>
        <w:rPr>
          <w:rFonts w:ascii="ArialMT" w:hAnsi="ArialMT"/>
          <w:sz w:val="22"/>
          <w:szCs w:val="22"/>
        </w:rPr>
        <w:t>In the ACS tiered system, hospitals are designated with Levels 1-5, with the statement that “...clinical outcomes of severely injured patients are expected to be equivalent at Level 1 and 2 trauma centers....”</w:t>
      </w:r>
      <w:r>
        <w:rPr>
          <w:rFonts w:ascii="ArialMT" w:hAnsi="ArialMT"/>
          <w:position w:val="8"/>
          <w:sz w:val="14"/>
          <w:szCs w:val="14"/>
        </w:rPr>
        <w:t xml:space="preserve">14 </w:t>
      </w:r>
      <w:r>
        <w:rPr>
          <w:rFonts w:ascii="ArialMT" w:hAnsi="ArialMT"/>
          <w:sz w:val="22"/>
          <w:szCs w:val="22"/>
        </w:rPr>
        <w:t>It is expected that Level 1 and 2 trauma centers should have all of the necessary human resources (e.g. subspecialty physicians) and physical resources (physical plant and equipment) to care for the acutely injured patient.</w:t>
      </w:r>
      <w:r>
        <w:rPr>
          <w:rFonts w:ascii="ArialMT" w:hAnsi="ArialMT"/>
          <w:position w:val="8"/>
          <w:sz w:val="14"/>
          <w:szCs w:val="14"/>
        </w:rPr>
        <w:t xml:space="preserve">14 </w:t>
      </w:r>
      <w:r>
        <w:rPr>
          <w:rFonts w:ascii="ArialMT" w:hAnsi="ArialMT"/>
          <w:sz w:val="22"/>
          <w:szCs w:val="22"/>
        </w:rPr>
        <w:t>However, Level 1 trauma centers consistently demonstrate superior clinical outcomes compared to Level 2 trauma centers, suggesting that organizational features, such as the requirement for a surgeon- directed critical care service, at Level 1 organizations are leading to patient outcome differences since all the human resources (e.g. subspecialty physicians) are the same at Levels 1 and 2 trauma centers.</w:t>
      </w:r>
      <w:r>
        <w:rPr>
          <w:rFonts w:ascii="ArialMT" w:hAnsi="ArialMT"/>
          <w:position w:val="8"/>
          <w:sz w:val="14"/>
          <w:szCs w:val="14"/>
        </w:rPr>
        <w:t xml:space="preserve">16–20 </w:t>
      </w:r>
      <w:r>
        <w:rPr>
          <w:rFonts w:ascii="ArialMT" w:hAnsi="ArialMT"/>
          <w:sz w:val="22"/>
          <w:szCs w:val="22"/>
        </w:rPr>
        <w:t xml:space="preserve">These findings also align with previous literature supporting </w:t>
      </w:r>
      <w:r>
        <w:rPr>
          <w:rFonts w:ascii="ArialMT" w:hAnsi="ArialMT"/>
          <w:color w:val="1E1E1E"/>
          <w:sz w:val="22"/>
          <w:szCs w:val="22"/>
        </w:rPr>
        <w:t>that institutional commitment, expressed through the organization of care, has an impact on outcomes of patients in intensive care units.</w:t>
      </w:r>
      <w:r>
        <w:rPr>
          <w:rFonts w:ascii="ArialMT" w:hAnsi="ArialMT"/>
          <w:position w:val="8"/>
          <w:sz w:val="14"/>
          <w:szCs w:val="14"/>
        </w:rPr>
        <w:t xml:space="preserve">5–7 </w:t>
      </w:r>
      <w:r>
        <w:rPr>
          <w:rFonts w:ascii="ArialMT" w:hAnsi="ArialMT"/>
          <w:color w:val="1E1E1E"/>
          <w:sz w:val="22"/>
          <w:szCs w:val="22"/>
        </w:rPr>
        <w:t xml:space="preserve">However, the role of institutional commitment in trauma is currently under-researched, which amounts to an additional knowledge gap regarding the role institutional commitment plays with respect to trauma patient outcomes. Moreover, we do not know which organizational features of trauma care programs are indicative of institutional commitment. </w:t>
      </w:r>
    </w:p>
    <w:p w14:paraId="7A2FFF79" w14:textId="77777777" w:rsidR="00F511D7" w:rsidRDefault="00F511D7" w:rsidP="00F511D7">
      <w:pPr>
        <w:pStyle w:val="NormalWeb"/>
      </w:pPr>
      <w:r>
        <w:rPr>
          <w:rFonts w:ascii="ArialMT" w:hAnsi="ArialMT"/>
          <w:sz w:val="22"/>
          <w:szCs w:val="22"/>
        </w:rPr>
        <w:t xml:space="preserve">With the 2014 edition of </w:t>
      </w:r>
      <w:r>
        <w:rPr>
          <w:rFonts w:ascii="Arial" w:hAnsi="Arial" w:cs="Arial"/>
          <w:i/>
          <w:iCs/>
          <w:sz w:val="22"/>
          <w:szCs w:val="22"/>
        </w:rPr>
        <w:t>Resources for the Optimal Care of the Injured Patient</w:t>
      </w:r>
      <w:r>
        <w:rPr>
          <w:rFonts w:ascii="ArialMT" w:hAnsi="ArialMT"/>
          <w:sz w:val="22"/>
          <w:szCs w:val="22"/>
        </w:rPr>
        <w:t>, trauma centers are now required to participate in an improvement process that uses patient outcomes and quality of care as a benchmark.</w:t>
      </w:r>
      <w:r>
        <w:rPr>
          <w:rFonts w:ascii="ArialMT" w:hAnsi="ArialMT"/>
          <w:position w:val="8"/>
          <w:sz w:val="14"/>
          <w:szCs w:val="14"/>
        </w:rPr>
        <w:t xml:space="preserve">14 </w:t>
      </w:r>
      <w:r>
        <w:rPr>
          <w:rFonts w:ascii="ArialMT" w:hAnsi="ArialMT"/>
          <w:sz w:val="22"/>
          <w:szCs w:val="22"/>
        </w:rPr>
        <w:t>This requirement has been in the works since 2008 when the ACS established the Trauma Quality Improvement Program (TQIP) to build a process for trauma centers to measure and compare their risk-adjusted patient outcomes. TQIP is the most commonly used national benchmark and contains data for over 825 trauma centers.</w:t>
      </w:r>
      <w:r>
        <w:rPr>
          <w:rFonts w:ascii="ArialMT" w:hAnsi="ArialMT"/>
          <w:position w:val="8"/>
          <w:sz w:val="14"/>
          <w:szCs w:val="14"/>
        </w:rPr>
        <w:t xml:space="preserve">21 </w:t>
      </w:r>
      <w:r>
        <w:rPr>
          <w:rFonts w:ascii="ArialMT" w:hAnsi="ArialMT"/>
          <w:sz w:val="22"/>
          <w:szCs w:val="22"/>
        </w:rPr>
        <w:t>TQIP uses a mixed-models approach to risk adjustment, accounting for case-mix differences in demographics, medical comorbidities, and injury characteristics.</w:t>
      </w:r>
      <w:r>
        <w:rPr>
          <w:rFonts w:ascii="ArialMT" w:hAnsi="ArialMT"/>
          <w:position w:val="8"/>
          <w:sz w:val="14"/>
          <w:szCs w:val="14"/>
        </w:rPr>
        <w:t xml:space="preserve">22 </w:t>
      </w:r>
      <w:r>
        <w:rPr>
          <w:rFonts w:ascii="ArialMT" w:hAnsi="ArialMT"/>
          <w:sz w:val="22"/>
          <w:szCs w:val="22"/>
        </w:rPr>
        <w:t>TQIP does not provide risk adjustment at the Level of the trauma center but includes all Level 1 and 2 centers in a single category.</w:t>
      </w:r>
      <w:r>
        <w:rPr>
          <w:rFonts w:ascii="ArialMT" w:hAnsi="ArialMT"/>
          <w:position w:val="8"/>
          <w:sz w:val="14"/>
          <w:szCs w:val="14"/>
        </w:rPr>
        <w:t xml:space="preserve">22 </w:t>
      </w:r>
      <w:r>
        <w:rPr>
          <w:rFonts w:ascii="ArialMT" w:hAnsi="ArialMT"/>
          <w:sz w:val="22"/>
          <w:szCs w:val="22"/>
        </w:rPr>
        <w:t xml:space="preserve">Thus it is impossible to link specific organizational features to particular patient outcomes. </w:t>
      </w:r>
    </w:p>
    <w:p w14:paraId="1E68B846" w14:textId="77777777" w:rsidR="00F511D7" w:rsidRDefault="00F511D7" w:rsidP="00F511D7">
      <w:pPr>
        <w:pStyle w:val="NormalWeb"/>
      </w:pPr>
      <w:r>
        <w:rPr>
          <w:rFonts w:ascii="ArialMT" w:hAnsi="ArialMT"/>
          <w:color w:val="1E1E1E"/>
          <w:sz w:val="22"/>
          <w:szCs w:val="22"/>
        </w:rPr>
        <w:t xml:space="preserve">Previous studies have demonstrated significant variability in patient outcomes among </w:t>
      </w:r>
      <w:r>
        <w:rPr>
          <w:rFonts w:ascii="ArialMT" w:hAnsi="ArialMT"/>
          <w:sz w:val="22"/>
          <w:szCs w:val="22"/>
        </w:rPr>
        <w:t>Level 1 and 2 trauma centers</w:t>
      </w:r>
      <w:r>
        <w:rPr>
          <w:rFonts w:ascii="ArialMT" w:hAnsi="ArialMT"/>
          <w:color w:val="1E1E1E"/>
          <w:sz w:val="22"/>
          <w:szCs w:val="22"/>
        </w:rPr>
        <w:t>.</w:t>
      </w:r>
      <w:r>
        <w:rPr>
          <w:rFonts w:ascii="ArialMT" w:hAnsi="ArialMT"/>
          <w:position w:val="8"/>
          <w:sz w:val="14"/>
          <w:szCs w:val="14"/>
        </w:rPr>
        <w:t xml:space="preserve">2–4,23 </w:t>
      </w:r>
      <w:r>
        <w:rPr>
          <w:rFonts w:ascii="ArialMT" w:hAnsi="ArialMT"/>
          <w:sz w:val="22"/>
          <w:szCs w:val="22"/>
        </w:rPr>
        <w:t>Additionally, depending on the type of injury examined there are outcome differences based on gender at these trauma centers.</w:t>
      </w:r>
      <w:r>
        <w:rPr>
          <w:rFonts w:ascii="ArialMT" w:hAnsi="ArialMT"/>
          <w:position w:val="8"/>
          <w:sz w:val="14"/>
          <w:szCs w:val="14"/>
        </w:rPr>
        <w:t xml:space="preserve">24,25 </w:t>
      </w:r>
      <w:r>
        <w:rPr>
          <w:rFonts w:ascii="ArialMT" w:hAnsi="ArialMT"/>
          <w:color w:val="1E1E1E"/>
          <w:sz w:val="22"/>
          <w:szCs w:val="22"/>
        </w:rPr>
        <w:t xml:space="preserve">Yet, </w:t>
      </w:r>
      <w:r>
        <w:rPr>
          <w:rFonts w:ascii="ArialMT" w:hAnsi="ArialMT"/>
          <w:sz w:val="22"/>
          <w:szCs w:val="22"/>
        </w:rPr>
        <w:t xml:space="preserve">ACS Level 1 and 2 </w:t>
      </w:r>
      <w:r>
        <w:rPr>
          <w:rFonts w:ascii="ArialMT" w:hAnsi="ArialMT"/>
          <w:sz w:val="22"/>
          <w:szCs w:val="22"/>
        </w:rPr>
        <w:lastRenderedPageBreak/>
        <w:t>trauma centers all have organizational features that meet the minimum standard for accreditation.</w:t>
      </w:r>
      <w:r>
        <w:rPr>
          <w:rFonts w:ascii="ArialMT" w:hAnsi="ArialMT"/>
          <w:position w:val="8"/>
          <w:sz w:val="14"/>
          <w:szCs w:val="14"/>
        </w:rPr>
        <w:t xml:space="preserve">23 </w:t>
      </w:r>
      <w:r>
        <w:rPr>
          <w:rFonts w:ascii="ArialMT" w:hAnsi="ArialMT"/>
          <w:sz w:val="22"/>
          <w:szCs w:val="22"/>
        </w:rPr>
        <w:t>Further, beyond the standards themselves, how the particular attributes of trauma centers, and, on a larger scale, of regional trauma systems, contribute to optimal patient outcomes have not yet been identified or measured.</w:t>
      </w:r>
      <w:r>
        <w:rPr>
          <w:rFonts w:ascii="ArialMT" w:hAnsi="ArialMT"/>
          <w:position w:val="8"/>
          <w:sz w:val="14"/>
          <w:szCs w:val="14"/>
        </w:rPr>
        <w:t xml:space="preserve">26,27 </w:t>
      </w:r>
      <w:r>
        <w:rPr>
          <w:rFonts w:ascii="ArialMT" w:hAnsi="ArialMT"/>
          <w:sz w:val="22"/>
          <w:szCs w:val="22"/>
        </w:rPr>
        <w:t>Further support to the hypothesis that organizational features play an essential role in creating and maintaining the best patient outcomes in trauma care comes from results achieved by the Joint Trauma System of the U.S. Military. It has consistently demonstrated improved survival for those most severely injured and, as a single system, evaluates organizational features at the site of care delivery to optimize resources across the system while in the civilian population, trauma survival is decreasing.</w:t>
      </w:r>
      <w:r>
        <w:rPr>
          <w:rFonts w:ascii="ArialMT" w:hAnsi="ArialMT"/>
          <w:position w:val="8"/>
          <w:sz w:val="14"/>
          <w:szCs w:val="14"/>
        </w:rPr>
        <w:t xml:space="preserve">28 </w:t>
      </w:r>
    </w:p>
    <w:p w14:paraId="32721DE3" w14:textId="77777777" w:rsidR="00F511D7" w:rsidRDefault="00F511D7" w:rsidP="00F511D7">
      <w:pPr>
        <w:pStyle w:val="NormalWeb"/>
      </w:pPr>
      <w:r>
        <w:rPr>
          <w:rFonts w:ascii="ArialMT" w:hAnsi="ArialMT"/>
          <w:sz w:val="22"/>
          <w:szCs w:val="22"/>
        </w:rPr>
        <w:t>To further validate these assumptions, we conducted a study using the National Inpatient Sample, a Healthcare Utilization Project Database.</w:t>
      </w:r>
      <w:r>
        <w:rPr>
          <w:rFonts w:ascii="ArialMT" w:hAnsi="ArialMT"/>
          <w:position w:val="8"/>
          <w:sz w:val="14"/>
          <w:szCs w:val="14"/>
        </w:rPr>
        <w:t xml:space="preserve">29 </w:t>
      </w:r>
      <w:r>
        <w:rPr>
          <w:rFonts w:ascii="ArialMT" w:hAnsi="ArialMT"/>
          <w:sz w:val="22"/>
          <w:szCs w:val="22"/>
        </w:rPr>
        <w:t xml:space="preserve">We selected all patients with a traumatic injury and a long bone fracture to purposefully create a patient cohort that would have had multiple care teams (trauma, orthopedics, and anesthesia). We looked at the TQIP complication Acute Kidney Injury (AKI), and in this study of 68,540 patients we found that the incidence of AKI was 11.9%. Using logistic regression, the variables significantly associated with this outcome included the teaching status and profit status of the hospital. </w:t>
      </w:r>
      <w:r>
        <w:rPr>
          <w:rFonts w:ascii="Arial" w:hAnsi="Arial" w:cs="Arial"/>
          <w:b/>
          <w:bCs/>
          <w:sz w:val="22"/>
          <w:szCs w:val="22"/>
        </w:rPr>
        <w:t xml:space="preserve">Specifically, non- academic facilities and those facilities for profit had a higher risk of AKI. </w:t>
      </w:r>
      <w:r>
        <w:rPr>
          <w:rFonts w:ascii="ArialMT" w:hAnsi="ArialMT"/>
          <w:sz w:val="22"/>
          <w:szCs w:val="22"/>
        </w:rPr>
        <w:t xml:space="preserve">The academic status of a facility is the main driver between Level 1 and Level 2 trauma centers. </w:t>
      </w:r>
    </w:p>
    <w:p w14:paraId="7AADEBB5" w14:textId="77777777" w:rsidR="007B3637" w:rsidRPr="007B3637" w:rsidRDefault="007B3637" w:rsidP="007B3637">
      <w:pPr>
        <w:ind w:left="0"/>
        <w:rPr>
          <w:rFonts w:eastAsia="Avenir"/>
          <w:sz w:val="22"/>
          <w:szCs w:val="22"/>
        </w:rPr>
      </w:pPr>
    </w:p>
    <w:p w14:paraId="23B35F9E" w14:textId="490C4991" w:rsidR="00F511D7" w:rsidRPr="00A45A78" w:rsidRDefault="00A173B3" w:rsidP="00D059E6">
      <w:pPr>
        <w:spacing w:before="120" w:after="120"/>
        <w:ind w:left="0"/>
        <w:rPr>
          <w:b/>
          <w:color w:val="auto"/>
        </w:rPr>
      </w:pPr>
      <w:r w:rsidRPr="00A45A78">
        <w:rPr>
          <w:b/>
          <w:color w:val="auto"/>
        </w:rPr>
        <w:t xml:space="preserve">Hypothesis </w:t>
      </w:r>
      <w:r w:rsidRPr="00A45A78">
        <w:rPr>
          <w:i/>
          <w:color w:val="auto"/>
        </w:rPr>
        <w:t>and/or</w:t>
      </w:r>
      <w:r w:rsidRPr="00A45A78">
        <w:rPr>
          <w:b/>
          <w:color w:val="auto"/>
        </w:rPr>
        <w:t xml:space="preserve"> Specific Aims</w:t>
      </w:r>
      <w:r w:rsidRPr="00A45A78">
        <w:rPr>
          <w:b/>
          <w:i/>
          <w:color w:val="auto"/>
        </w:rPr>
        <w:t xml:space="preserve"> </w:t>
      </w:r>
      <w:r w:rsidRPr="00A45A78">
        <w:rPr>
          <w:i/>
          <w:color w:val="auto"/>
        </w:rPr>
        <w:t>or</w:t>
      </w:r>
      <w:r w:rsidRPr="00A45A78">
        <w:rPr>
          <w:b/>
          <w:color w:val="auto"/>
        </w:rPr>
        <w:t xml:space="preserve"> </w:t>
      </w:r>
      <w:r w:rsidR="00970A11" w:rsidRPr="00A45A78">
        <w:rPr>
          <w:b/>
          <w:color w:val="auto"/>
        </w:rPr>
        <w:t>Objectives</w:t>
      </w:r>
    </w:p>
    <w:p w14:paraId="0B4B95F0" w14:textId="77777777" w:rsidR="00F511D7" w:rsidRDefault="00F511D7" w:rsidP="00AF47CE">
      <w:pPr>
        <w:ind w:left="0"/>
        <w:rPr>
          <w:rFonts w:eastAsia="Avenir"/>
          <w:b/>
          <w:color w:val="000000"/>
          <w:sz w:val="22"/>
          <w:szCs w:val="22"/>
        </w:rPr>
      </w:pPr>
      <w:r>
        <w:rPr>
          <w:rFonts w:eastAsia="Avenir"/>
          <w:b/>
          <w:color w:val="000000"/>
          <w:sz w:val="22"/>
          <w:szCs w:val="22"/>
        </w:rPr>
        <w:t>Hypothesis</w:t>
      </w:r>
    </w:p>
    <w:p w14:paraId="0B3B0C81" w14:textId="3C43AFCD" w:rsidR="00F511D7" w:rsidRPr="00F511D7" w:rsidRDefault="00F511D7" w:rsidP="00F511D7">
      <w:pPr>
        <w:pStyle w:val="NormalWeb"/>
      </w:pPr>
      <w:r>
        <w:rPr>
          <w:rFonts w:ascii="ArialMT" w:hAnsi="ArialMT"/>
          <w:sz w:val="22"/>
          <w:szCs w:val="22"/>
        </w:rPr>
        <w:t xml:space="preserve">This leads to our </w:t>
      </w:r>
      <w:r>
        <w:rPr>
          <w:rFonts w:ascii="Arial" w:hAnsi="Arial" w:cs="Arial"/>
          <w:b/>
          <w:bCs/>
          <w:sz w:val="22"/>
          <w:szCs w:val="22"/>
        </w:rPr>
        <w:t xml:space="preserve">global hypothesis that the variability of organizational features in Level 1 and 2 trauma centers is a significant factor in the variability of patient outcomes across those trauma centers. </w:t>
      </w:r>
      <w:r>
        <w:rPr>
          <w:rFonts w:ascii="ArialMT" w:hAnsi="ArialMT"/>
          <w:sz w:val="22"/>
          <w:szCs w:val="22"/>
        </w:rPr>
        <w:t>At this time, the correlation between organizational features and patient outcomes is not yet defined.</w:t>
      </w:r>
      <w:r>
        <w:rPr>
          <w:rFonts w:ascii="ArialMT" w:hAnsi="ArialMT"/>
          <w:position w:val="8"/>
          <w:sz w:val="14"/>
          <w:szCs w:val="14"/>
        </w:rPr>
        <w:t xml:space="preserve">2–4 </w:t>
      </w:r>
      <w:r>
        <w:rPr>
          <w:rFonts w:ascii="ArialMT" w:hAnsi="ArialMT"/>
          <w:sz w:val="22"/>
          <w:szCs w:val="22"/>
        </w:rPr>
        <w:t xml:space="preserve">This project aims to address two critical knowledge gaps a) a lack of understanding of how organizational features influence patient outcomes within Level 1 and 2 trauma centers and b) a lack of understanding of which organizational features of trauma systems are indicators of institutional commitment. In addition, we aim to provide actionable information to leadership, decision-makers, and stakeholders of Level 1 and 2 trauma centers, motivating changes of organizational characteristics that show empirical potential to impact patient outcomes positively. </w:t>
      </w:r>
    </w:p>
    <w:p w14:paraId="127BC26C" w14:textId="77777777" w:rsidR="00F511D7" w:rsidRDefault="00F511D7" w:rsidP="00AF47CE">
      <w:pPr>
        <w:ind w:left="0"/>
        <w:rPr>
          <w:rFonts w:eastAsia="Avenir"/>
          <w:b/>
          <w:color w:val="000000"/>
          <w:sz w:val="22"/>
          <w:szCs w:val="22"/>
        </w:rPr>
      </w:pPr>
    </w:p>
    <w:p w14:paraId="65C9FB15" w14:textId="6DC3CA76" w:rsidR="00AF47CE" w:rsidRPr="00AF47CE" w:rsidRDefault="00AF47CE" w:rsidP="00AF47CE">
      <w:pPr>
        <w:ind w:left="0"/>
        <w:rPr>
          <w:rFonts w:eastAsia="Avenir"/>
          <w:sz w:val="23"/>
          <w:szCs w:val="23"/>
        </w:rPr>
      </w:pPr>
      <w:r w:rsidRPr="00AF47CE">
        <w:rPr>
          <w:rFonts w:eastAsia="Avenir"/>
          <w:b/>
          <w:color w:val="000000"/>
          <w:sz w:val="22"/>
          <w:szCs w:val="22"/>
        </w:rPr>
        <w:t>Primary objective</w:t>
      </w:r>
    </w:p>
    <w:p w14:paraId="10B24FBD" w14:textId="77777777" w:rsidR="00AF47CE" w:rsidRPr="00AF47CE" w:rsidRDefault="00AF47CE" w:rsidP="00AF47CE">
      <w:pPr>
        <w:rPr>
          <w:rFonts w:eastAsia="Avenir"/>
          <w:sz w:val="23"/>
          <w:szCs w:val="23"/>
        </w:rPr>
      </w:pPr>
      <w:r w:rsidRPr="00AF47CE">
        <w:rPr>
          <w:rFonts w:eastAsia="Avenir"/>
          <w:b/>
          <w:color w:val="000000"/>
          <w:sz w:val="22"/>
          <w:szCs w:val="22"/>
        </w:rPr>
        <w:t> </w:t>
      </w:r>
    </w:p>
    <w:p w14:paraId="43B1488C" w14:textId="77D1A205" w:rsidR="00AF47CE" w:rsidRPr="00AF47CE" w:rsidRDefault="00E27B5E" w:rsidP="00E27B5E">
      <w:pPr>
        <w:ind w:left="105" w:right="112"/>
        <w:jc w:val="both"/>
        <w:outlineLvl w:val="0"/>
        <w:rPr>
          <w:rFonts w:eastAsia="Avenir"/>
          <w:sz w:val="23"/>
          <w:szCs w:val="23"/>
        </w:rPr>
      </w:pPr>
      <w:r w:rsidRPr="00E27B5E">
        <w:rPr>
          <w:rFonts w:eastAsia="Times New Roman"/>
          <w:b/>
          <w:bCs/>
          <w:color w:val="000000"/>
          <w:kern w:val="36"/>
          <w:sz w:val="22"/>
          <w:szCs w:val="22"/>
        </w:rPr>
        <w:t>To determine the impact of organizational features of Level 1 trauma centers on patient outcomes</w:t>
      </w:r>
      <w:r>
        <w:rPr>
          <w:rFonts w:eastAsia="Times New Roman"/>
          <w:b/>
          <w:bCs/>
          <w:color w:val="000000"/>
          <w:kern w:val="36"/>
          <w:sz w:val="22"/>
          <w:szCs w:val="22"/>
        </w:rPr>
        <w:t xml:space="preserve">.  </w:t>
      </w:r>
      <w:r w:rsidRPr="00E27B5E">
        <w:rPr>
          <w:rFonts w:eastAsia="Times New Roman"/>
          <w:color w:val="000000"/>
          <w:sz w:val="22"/>
          <w:szCs w:val="22"/>
        </w:rPr>
        <w:t xml:space="preserve">We will use the CAFE questionnaire to collect data about organizational features (such as clinical, administrative, and operational resources) for the trauma programs of 230 Level 1 and Level 2 Trauma Centers. In addition, we will collect data from the Trauma Quality Improvement Program (TQIP) of all participating centers. All our data will be collected in the new TIPTOE database, re-using the architectural approach of the CAFÉ project, which allows us to employ Artificial Intelligence techniques to infer new knowledge. </w:t>
      </w:r>
      <w:r w:rsidRPr="00E27B5E">
        <w:rPr>
          <w:rFonts w:eastAsia="Times New Roman"/>
          <w:b/>
          <w:bCs/>
          <w:color w:val="000000"/>
          <w:sz w:val="22"/>
          <w:szCs w:val="22"/>
        </w:rPr>
        <w:t>To support our global hypothesis, we will use these data to test which organizational features are associated with patient outcomes, specifically patient mortality, length of stay, and major complications.</w:t>
      </w:r>
    </w:p>
    <w:p w14:paraId="0338FDFA" w14:textId="7D4DD90A" w:rsidR="00AF47CE" w:rsidRDefault="00AF47CE" w:rsidP="00AF47CE">
      <w:pPr>
        <w:ind w:left="0"/>
        <w:rPr>
          <w:rFonts w:eastAsia="Avenir"/>
          <w:b/>
          <w:color w:val="000000"/>
          <w:sz w:val="22"/>
          <w:szCs w:val="22"/>
        </w:rPr>
      </w:pPr>
      <w:r w:rsidRPr="00AF47CE">
        <w:rPr>
          <w:rFonts w:eastAsia="Avenir"/>
          <w:b/>
          <w:color w:val="000000"/>
          <w:sz w:val="22"/>
          <w:szCs w:val="22"/>
        </w:rPr>
        <w:lastRenderedPageBreak/>
        <w:t>Secondary objectives</w:t>
      </w:r>
    </w:p>
    <w:p w14:paraId="2E8C58A8" w14:textId="0B13ABB6" w:rsidR="00E27B5E" w:rsidRDefault="00E27B5E" w:rsidP="00AF47CE">
      <w:pPr>
        <w:ind w:left="0"/>
        <w:rPr>
          <w:rFonts w:eastAsia="Avenir"/>
          <w:b/>
          <w:color w:val="000000"/>
          <w:sz w:val="22"/>
          <w:szCs w:val="22"/>
        </w:rPr>
      </w:pPr>
    </w:p>
    <w:p w14:paraId="0041237D" w14:textId="77777777" w:rsidR="00E27B5E" w:rsidRPr="00E27B5E" w:rsidRDefault="00E27B5E" w:rsidP="00F511D7">
      <w:pPr>
        <w:ind w:left="0" w:right="112"/>
        <w:jc w:val="both"/>
        <w:outlineLvl w:val="0"/>
        <w:rPr>
          <w:rFonts w:ascii="Times New Roman" w:eastAsia="Times New Roman" w:hAnsi="Times New Roman" w:cs="Times New Roman"/>
          <w:b/>
          <w:bCs/>
          <w:color w:val="auto"/>
          <w:kern w:val="36"/>
          <w:sz w:val="48"/>
          <w:szCs w:val="48"/>
        </w:rPr>
      </w:pPr>
      <w:r w:rsidRPr="00E27B5E">
        <w:rPr>
          <w:rFonts w:eastAsia="Times New Roman"/>
          <w:b/>
          <w:bCs/>
          <w:color w:val="000000"/>
          <w:kern w:val="36"/>
          <w:sz w:val="22"/>
          <w:szCs w:val="22"/>
        </w:rPr>
        <w:t xml:space="preserve">To assess which organizational features of trauma centers are indicative of institutional </w:t>
      </w:r>
      <w:proofErr w:type="gramStart"/>
      <w:r w:rsidRPr="00E27B5E">
        <w:rPr>
          <w:rFonts w:eastAsia="Times New Roman"/>
          <w:b/>
          <w:bCs/>
          <w:color w:val="000000"/>
          <w:kern w:val="36"/>
          <w:sz w:val="22"/>
          <w:szCs w:val="22"/>
        </w:rPr>
        <w:t>commitment</w:t>
      </w:r>
      <w:proofErr w:type="gramEnd"/>
    </w:p>
    <w:p w14:paraId="0CAF1D3E" w14:textId="5DFB1C5E" w:rsidR="00E27B5E" w:rsidRPr="00AF47CE" w:rsidRDefault="00E27B5E" w:rsidP="00E27B5E">
      <w:pPr>
        <w:ind w:left="0"/>
        <w:rPr>
          <w:rFonts w:eastAsia="Avenir"/>
          <w:sz w:val="23"/>
          <w:szCs w:val="23"/>
        </w:rPr>
      </w:pPr>
      <w:r w:rsidRPr="00E27B5E">
        <w:rPr>
          <w:rFonts w:eastAsia="Times New Roman"/>
          <w:color w:val="000000"/>
          <w:sz w:val="22"/>
          <w:szCs w:val="22"/>
        </w:rPr>
        <w:t xml:space="preserve">We will use the data collected through the CAFÉ questionnaire to define which of the organizational features are indicative of institutional commitment using Latent Class analysis, allowing us to </w:t>
      </w:r>
      <w:r w:rsidRPr="00E27B5E">
        <w:rPr>
          <w:rFonts w:eastAsia="Times New Roman"/>
          <w:b/>
          <w:bCs/>
          <w:color w:val="000000"/>
          <w:sz w:val="22"/>
          <w:szCs w:val="22"/>
        </w:rPr>
        <w:t xml:space="preserve">represent the dependencies between organizational features and institutional commitment. </w:t>
      </w:r>
      <w:r w:rsidRPr="00E27B5E">
        <w:rPr>
          <w:rFonts w:eastAsia="Times New Roman"/>
          <w:color w:val="000000"/>
          <w:sz w:val="22"/>
          <w:szCs w:val="22"/>
        </w:rPr>
        <w:t>We will add this information to the TIPTOE database. This will allow automatic inferences on patterns of institutional commitment to represent, group and analyze factors indicative of institutional commitment using data collected during CAFE and the present project. This provides an additional source of knowledge guiding trauma center planning and decision-making.</w:t>
      </w:r>
    </w:p>
    <w:p w14:paraId="3C740E80" w14:textId="77777777" w:rsidR="00AF47CE" w:rsidRPr="00AF47CE" w:rsidRDefault="00AF47CE" w:rsidP="00AF47CE">
      <w:pPr>
        <w:rPr>
          <w:rFonts w:eastAsia="Avenir"/>
          <w:sz w:val="23"/>
          <w:szCs w:val="23"/>
        </w:rPr>
      </w:pPr>
    </w:p>
    <w:p w14:paraId="34EF86EF" w14:textId="77777777" w:rsidR="0071299D" w:rsidRPr="00A45A78" w:rsidRDefault="0071299D" w:rsidP="00D059E6">
      <w:pPr>
        <w:spacing w:before="120" w:after="120"/>
        <w:ind w:left="0"/>
        <w:rPr>
          <w:b/>
          <w:color w:val="auto"/>
        </w:rPr>
      </w:pPr>
      <w:r w:rsidRPr="00A45A78">
        <w:rPr>
          <w:b/>
          <w:color w:val="auto"/>
        </w:rPr>
        <w:t xml:space="preserve">Study </w:t>
      </w:r>
      <w:r w:rsidR="00457286" w:rsidRPr="00A45A78">
        <w:rPr>
          <w:b/>
          <w:color w:val="auto"/>
        </w:rPr>
        <w:t>Design</w:t>
      </w:r>
      <w:r w:rsidRPr="00A45A78">
        <w:rPr>
          <w:b/>
          <w:color w:val="auto"/>
        </w:rPr>
        <w:t xml:space="preserve"> and Procedures</w:t>
      </w:r>
      <w:r w:rsidR="00772235">
        <w:rPr>
          <w:b/>
          <w:color w:val="auto"/>
        </w:rPr>
        <w:t xml:space="preserve"> (sometimes called “Methods”)</w:t>
      </w:r>
    </w:p>
    <w:p w14:paraId="4D48D930" w14:textId="20FBC6C3" w:rsidR="001F001E" w:rsidRPr="001F001E" w:rsidRDefault="001F001E" w:rsidP="001F001E">
      <w:pPr>
        <w:ind w:left="0"/>
        <w:rPr>
          <w:rFonts w:eastAsia="Avenir"/>
          <w:sz w:val="22"/>
          <w:szCs w:val="22"/>
        </w:rPr>
      </w:pPr>
      <w:r w:rsidRPr="001F001E">
        <w:rPr>
          <w:rFonts w:eastAsia="Avenir"/>
          <w:color w:val="000000"/>
          <w:sz w:val="22"/>
          <w:szCs w:val="22"/>
        </w:rPr>
        <w:t xml:space="preserve">This is a multi-center, </w:t>
      </w:r>
      <w:r w:rsidR="00F511D7">
        <w:rPr>
          <w:rFonts w:eastAsia="Avenir"/>
          <w:color w:val="000000"/>
          <w:sz w:val="22"/>
          <w:szCs w:val="22"/>
        </w:rPr>
        <w:t xml:space="preserve">prospective, </w:t>
      </w:r>
      <w:r w:rsidRPr="001F001E">
        <w:rPr>
          <w:rFonts w:eastAsia="Avenir"/>
          <w:color w:val="000000"/>
          <w:sz w:val="22"/>
          <w:szCs w:val="22"/>
        </w:rPr>
        <w:t xml:space="preserve">observational, study of </w:t>
      </w:r>
      <w:r w:rsidR="00F511D7">
        <w:rPr>
          <w:rFonts w:eastAsia="Avenir"/>
          <w:color w:val="000000"/>
          <w:sz w:val="22"/>
          <w:szCs w:val="22"/>
        </w:rPr>
        <w:t xml:space="preserve">organizational features and trauma outcomes.  </w:t>
      </w:r>
    </w:p>
    <w:p w14:paraId="7EC0E2F8" w14:textId="77777777" w:rsidR="001F001E" w:rsidRPr="001F001E" w:rsidRDefault="001F001E" w:rsidP="001F001E">
      <w:pPr>
        <w:rPr>
          <w:rFonts w:eastAsia="Avenir"/>
          <w:sz w:val="22"/>
          <w:szCs w:val="22"/>
        </w:rPr>
      </w:pPr>
    </w:p>
    <w:p w14:paraId="1934C831" w14:textId="18F0C137" w:rsidR="00DB3F69" w:rsidRDefault="00DB3F69" w:rsidP="00BF41DB">
      <w:pPr>
        <w:ind w:left="0"/>
        <w:rPr>
          <w:rFonts w:eastAsia="Avenir"/>
          <w:sz w:val="22"/>
          <w:szCs w:val="22"/>
        </w:rPr>
      </w:pPr>
    </w:p>
    <w:p w14:paraId="67312468" w14:textId="77777777" w:rsidR="00DB3F69" w:rsidRPr="00DB3F69" w:rsidRDefault="00DB3F69" w:rsidP="00BF41DB">
      <w:pPr>
        <w:ind w:left="0"/>
        <w:rPr>
          <w:rFonts w:eastAsia="Avenir"/>
          <w:sz w:val="22"/>
          <w:szCs w:val="22"/>
        </w:rPr>
      </w:pPr>
    </w:p>
    <w:p w14:paraId="2F2F2BE6" w14:textId="5275CFAD" w:rsidR="00BF41DB" w:rsidRPr="00BF41DB" w:rsidRDefault="00BF41DB" w:rsidP="00BF41DB">
      <w:pPr>
        <w:ind w:left="0"/>
        <w:rPr>
          <w:rFonts w:eastAsia="Avenir"/>
          <w:b/>
          <w:bCs/>
          <w:sz w:val="22"/>
          <w:szCs w:val="22"/>
        </w:rPr>
      </w:pPr>
      <w:r>
        <w:rPr>
          <w:rFonts w:eastAsia="Avenir"/>
          <w:b/>
          <w:bCs/>
          <w:color w:val="000000"/>
          <w:sz w:val="22"/>
          <w:szCs w:val="22"/>
        </w:rPr>
        <w:t>Timeline</w:t>
      </w:r>
    </w:p>
    <w:p w14:paraId="326ACC42" w14:textId="77777777" w:rsidR="00BF41DB" w:rsidRPr="00BF41DB" w:rsidRDefault="00BF41DB" w:rsidP="00BF41DB">
      <w:pPr>
        <w:ind w:left="0"/>
        <w:rPr>
          <w:rFonts w:eastAsia="Avenir"/>
          <w:color w:val="000000"/>
          <w:sz w:val="22"/>
          <w:szCs w:val="22"/>
        </w:rPr>
      </w:pPr>
    </w:p>
    <w:p w14:paraId="20C71131" w14:textId="25CC9F5E" w:rsidR="00BF41DB" w:rsidRDefault="00BF41DB" w:rsidP="00BF41DB">
      <w:pPr>
        <w:ind w:left="0"/>
        <w:rPr>
          <w:rFonts w:eastAsia="Avenir"/>
          <w:color w:val="000000"/>
          <w:sz w:val="22"/>
          <w:szCs w:val="22"/>
        </w:rPr>
      </w:pPr>
      <w:r w:rsidRPr="00BF41DB">
        <w:rPr>
          <w:rFonts w:eastAsia="Avenir"/>
          <w:color w:val="000000"/>
          <w:sz w:val="22"/>
          <w:szCs w:val="22"/>
        </w:rPr>
        <w:t>This is a 16-week study with 3 phases: a 4-week start-up phase that includes limited up front configuration of the system to the local trauma system environment (</w:t>
      </w:r>
      <w:r w:rsidR="00D1395F" w:rsidRPr="00BF41DB">
        <w:rPr>
          <w:rFonts w:eastAsia="Avenir"/>
          <w:color w:val="000000"/>
          <w:sz w:val="22"/>
          <w:szCs w:val="22"/>
        </w:rPr>
        <w:t>e.g.,</w:t>
      </w:r>
      <w:r w:rsidRPr="00BF41DB">
        <w:rPr>
          <w:rFonts w:eastAsia="Avenir"/>
          <w:color w:val="000000"/>
          <w:sz w:val="22"/>
          <w:szCs w:val="22"/>
        </w:rPr>
        <w:t xml:space="preserve"> inclusion of trauma team personnel, inclusion of trauma activation criteria, review of clinical practice guidelines, VPN configuration), and training; a 2-week run in phase; 8 weeks of data collection; and a 2-week analysis and reporting phase. Participating trauma centers will enter the data collection phase on a rolling basis, after the completion of the components of the preparation phase.</w:t>
      </w:r>
    </w:p>
    <w:p w14:paraId="5D3D99C0" w14:textId="1F4044ED" w:rsidR="00D9777D" w:rsidRDefault="00D9777D" w:rsidP="00BF41DB">
      <w:pPr>
        <w:ind w:left="0"/>
        <w:rPr>
          <w:rFonts w:eastAsia="Avenir"/>
          <w:color w:val="000000"/>
          <w:sz w:val="22"/>
          <w:szCs w:val="22"/>
        </w:rPr>
      </w:pPr>
    </w:p>
    <w:p w14:paraId="155BDFF1" w14:textId="28F67023" w:rsidR="007C7397" w:rsidRPr="00A45A78" w:rsidRDefault="00457286" w:rsidP="00D059E6">
      <w:pPr>
        <w:spacing w:before="120" w:after="120"/>
        <w:ind w:left="0"/>
        <w:rPr>
          <w:b/>
          <w:color w:val="auto"/>
        </w:rPr>
      </w:pPr>
      <w:r w:rsidRPr="00A45A78">
        <w:rPr>
          <w:b/>
          <w:color w:val="auto"/>
        </w:rPr>
        <w:t>Study Population</w:t>
      </w:r>
    </w:p>
    <w:p w14:paraId="28E1A5BB" w14:textId="5F729D47" w:rsidR="00F511D7" w:rsidRDefault="00F511D7" w:rsidP="00F511D7">
      <w:pPr>
        <w:pStyle w:val="NormalWeb"/>
      </w:pPr>
      <w:r>
        <w:rPr>
          <w:rFonts w:ascii="ArialMT" w:hAnsi="ArialMT"/>
          <w:sz w:val="22"/>
          <w:szCs w:val="22"/>
        </w:rPr>
        <w:t xml:space="preserve">We plan to open recruitment to all 190 Level 1 trauma centers and 263 Level 2 trauma centers. Based on our survey of Level 1 trauma centers, 87.2% of respondents agreed that participation in the proposed project would be desirable. However, using a conservative estimate, we expect that approximately 60% of level 1 centers and 40% of level 2 centers will participate in the current study. Therefore, the total number of centers we expect to enroll is approximately 230 levels 1 and 2 combined. </w:t>
      </w:r>
    </w:p>
    <w:p w14:paraId="68D292D7" w14:textId="77777777" w:rsidR="001F001E" w:rsidRDefault="001F001E" w:rsidP="001F001E">
      <w:pPr>
        <w:ind w:left="0"/>
        <w:rPr>
          <w:rFonts w:eastAsia="Avenir"/>
          <w:color w:val="000000"/>
          <w:sz w:val="22"/>
          <w:szCs w:val="22"/>
        </w:rPr>
      </w:pPr>
    </w:p>
    <w:p w14:paraId="3F659D73" w14:textId="77777777" w:rsidR="001F001E" w:rsidRDefault="001F001E" w:rsidP="001F001E">
      <w:pPr>
        <w:ind w:left="0"/>
        <w:rPr>
          <w:rFonts w:eastAsia="Avenir"/>
          <w:color w:val="000000"/>
          <w:sz w:val="22"/>
          <w:szCs w:val="22"/>
        </w:rPr>
      </w:pPr>
    </w:p>
    <w:p w14:paraId="35163C65" w14:textId="0689937B" w:rsidR="00E45679" w:rsidRPr="00E87481" w:rsidRDefault="00A1181E" w:rsidP="00D059E6">
      <w:pPr>
        <w:widowControl w:val="0"/>
        <w:autoSpaceDE w:val="0"/>
        <w:autoSpaceDN w:val="0"/>
        <w:adjustRightInd w:val="0"/>
        <w:spacing w:before="120" w:after="120"/>
        <w:ind w:left="0"/>
        <w:rPr>
          <w:color w:val="000000"/>
          <w:sz w:val="22"/>
          <w:szCs w:val="22"/>
          <w:u w:val="single"/>
        </w:rPr>
      </w:pPr>
      <w:r w:rsidRPr="00E87481">
        <w:rPr>
          <w:color w:val="000000"/>
          <w:sz w:val="22"/>
          <w:szCs w:val="22"/>
          <w:u w:val="single"/>
        </w:rPr>
        <w:t>Inclusion Criteria</w:t>
      </w:r>
    </w:p>
    <w:p w14:paraId="0D4FA643" w14:textId="16F02C1A" w:rsidR="00AF47CE" w:rsidRDefault="00AF47CE" w:rsidP="00D059E6">
      <w:pPr>
        <w:pStyle w:val="Pargrafdellista"/>
        <w:widowControl w:val="0"/>
        <w:numPr>
          <w:ilvl w:val="0"/>
          <w:numId w:val="4"/>
        </w:numPr>
        <w:autoSpaceDE w:val="0"/>
        <w:autoSpaceDN w:val="0"/>
        <w:adjustRightInd w:val="0"/>
        <w:spacing w:before="120" w:after="120"/>
        <w:rPr>
          <w:color w:val="000000"/>
          <w:sz w:val="22"/>
          <w:szCs w:val="22"/>
        </w:rPr>
      </w:pPr>
      <w:r w:rsidRPr="00E87481">
        <w:rPr>
          <w:color w:val="000000"/>
          <w:sz w:val="22"/>
          <w:szCs w:val="22"/>
        </w:rPr>
        <w:t>Age &gt;/= 18</w:t>
      </w:r>
    </w:p>
    <w:p w14:paraId="16D896A6" w14:textId="62063EF9" w:rsidR="00D82232" w:rsidRPr="00E87481" w:rsidRDefault="00D82232" w:rsidP="00D059E6">
      <w:pPr>
        <w:pStyle w:val="Pargrafdellista"/>
        <w:widowControl w:val="0"/>
        <w:numPr>
          <w:ilvl w:val="0"/>
          <w:numId w:val="4"/>
        </w:numPr>
        <w:autoSpaceDE w:val="0"/>
        <w:autoSpaceDN w:val="0"/>
        <w:adjustRightInd w:val="0"/>
        <w:spacing w:before="120" w:after="120"/>
        <w:rPr>
          <w:color w:val="000000"/>
          <w:sz w:val="22"/>
          <w:szCs w:val="22"/>
        </w:rPr>
      </w:pPr>
      <w:r>
        <w:rPr>
          <w:color w:val="000000"/>
          <w:sz w:val="22"/>
          <w:szCs w:val="22"/>
        </w:rPr>
        <w:t xml:space="preserve">Meets criteria to be in the trauma </w:t>
      </w:r>
      <w:proofErr w:type="gramStart"/>
      <w:r>
        <w:rPr>
          <w:color w:val="000000"/>
          <w:sz w:val="22"/>
          <w:szCs w:val="22"/>
        </w:rPr>
        <w:t>registry</w:t>
      </w:r>
      <w:proofErr w:type="gramEnd"/>
    </w:p>
    <w:p w14:paraId="7957FC5C" w14:textId="77777777" w:rsidR="00A1181E" w:rsidRPr="00E87481" w:rsidRDefault="00A1181E" w:rsidP="00D059E6">
      <w:pPr>
        <w:widowControl w:val="0"/>
        <w:autoSpaceDE w:val="0"/>
        <w:autoSpaceDN w:val="0"/>
        <w:adjustRightInd w:val="0"/>
        <w:spacing w:before="120" w:after="120"/>
        <w:ind w:left="0"/>
        <w:rPr>
          <w:color w:val="000000"/>
          <w:sz w:val="22"/>
          <w:szCs w:val="22"/>
          <w:u w:val="single"/>
        </w:rPr>
      </w:pPr>
      <w:r w:rsidRPr="00E87481">
        <w:rPr>
          <w:color w:val="000000"/>
          <w:sz w:val="22"/>
          <w:szCs w:val="22"/>
          <w:u w:val="single"/>
        </w:rPr>
        <w:t>Ex</w:t>
      </w:r>
      <w:r w:rsidR="00C06A9A" w:rsidRPr="00E87481">
        <w:rPr>
          <w:color w:val="000000"/>
          <w:sz w:val="22"/>
          <w:szCs w:val="22"/>
          <w:u w:val="single"/>
        </w:rPr>
        <w:t>c</w:t>
      </w:r>
      <w:r w:rsidRPr="00E87481">
        <w:rPr>
          <w:color w:val="000000"/>
          <w:sz w:val="22"/>
          <w:szCs w:val="22"/>
          <w:u w:val="single"/>
        </w:rPr>
        <w:t>lusion Criteria</w:t>
      </w:r>
    </w:p>
    <w:p w14:paraId="5A2D2A7E" w14:textId="00D78024" w:rsidR="00AF47CE" w:rsidRPr="00E87481" w:rsidRDefault="00AF47CE" w:rsidP="00D059E6">
      <w:pPr>
        <w:pStyle w:val="Pargrafdellista"/>
        <w:widowControl w:val="0"/>
        <w:numPr>
          <w:ilvl w:val="0"/>
          <w:numId w:val="5"/>
        </w:numPr>
        <w:autoSpaceDE w:val="0"/>
        <w:autoSpaceDN w:val="0"/>
        <w:adjustRightInd w:val="0"/>
        <w:spacing w:before="120" w:after="120"/>
        <w:rPr>
          <w:color w:val="000000"/>
          <w:sz w:val="22"/>
          <w:szCs w:val="22"/>
        </w:rPr>
      </w:pPr>
      <w:r w:rsidRPr="00E87481">
        <w:rPr>
          <w:color w:val="000000"/>
          <w:sz w:val="22"/>
          <w:szCs w:val="22"/>
        </w:rPr>
        <w:t>Age &lt; 18</w:t>
      </w:r>
    </w:p>
    <w:p w14:paraId="2C2BA488" w14:textId="77777777" w:rsidR="00E45679" w:rsidRDefault="00E45679" w:rsidP="00D059E6">
      <w:pPr>
        <w:widowControl w:val="0"/>
        <w:autoSpaceDE w:val="0"/>
        <w:autoSpaceDN w:val="0"/>
        <w:adjustRightInd w:val="0"/>
        <w:spacing w:before="120" w:after="120"/>
        <w:ind w:left="0"/>
        <w:rPr>
          <w:rFonts w:ascii="Helvetica" w:hAnsi="Helvetica" w:cs="Helvetica"/>
          <w:color w:val="000000"/>
          <w:sz w:val="8"/>
          <w:szCs w:val="8"/>
        </w:rPr>
      </w:pPr>
    </w:p>
    <w:p w14:paraId="2153BAF1" w14:textId="77777777" w:rsidR="0071299D" w:rsidRPr="00A94B91" w:rsidRDefault="00457286" w:rsidP="00D059E6">
      <w:pPr>
        <w:spacing w:before="120" w:after="120"/>
        <w:ind w:left="0"/>
        <w:rPr>
          <w:b/>
          <w:color w:val="auto"/>
        </w:rPr>
      </w:pPr>
      <w:r w:rsidRPr="00A94B91">
        <w:rPr>
          <w:b/>
          <w:color w:val="auto"/>
        </w:rPr>
        <w:lastRenderedPageBreak/>
        <w:t>Risks and Benefits</w:t>
      </w:r>
    </w:p>
    <w:p w14:paraId="5C62D98C" w14:textId="77777777" w:rsidR="00F23717" w:rsidRPr="00316B27" w:rsidRDefault="00167306" w:rsidP="00D059E6">
      <w:pPr>
        <w:pStyle w:val="Default"/>
        <w:spacing w:before="120" w:after="120"/>
        <w:rPr>
          <w:rFonts w:ascii="Arial" w:hAnsi="Arial" w:cs="Arial"/>
          <w:bCs/>
          <w:color w:val="auto"/>
          <w:sz w:val="22"/>
          <w:szCs w:val="22"/>
        </w:rPr>
      </w:pPr>
      <w:r w:rsidRPr="00316B27">
        <w:rPr>
          <w:rFonts w:ascii="Arial" w:hAnsi="Arial" w:cs="Arial"/>
          <w:bCs/>
          <w:color w:val="auto"/>
          <w:sz w:val="22"/>
          <w:szCs w:val="22"/>
        </w:rPr>
        <w:t xml:space="preserve">A </w:t>
      </w:r>
      <w:r w:rsidR="00A94B91" w:rsidRPr="00316B27">
        <w:rPr>
          <w:rFonts w:ascii="Arial" w:hAnsi="Arial" w:cs="Arial"/>
          <w:bCs/>
          <w:color w:val="auto"/>
          <w:sz w:val="22"/>
          <w:szCs w:val="22"/>
        </w:rPr>
        <w:t>risk to study participants is the potential for loss of confidentiality</w:t>
      </w:r>
      <w:r w:rsidR="00B01F07" w:rsidRPr="00316B27">
        <w:rPr>
          <w:rFonts w:ascii="Arial" w:hAnsi="Arial" w:cs="Arial"/>
          <w:bCs/>
          <w:color w:val="auto"/>
          <w:sz w:val="22"/>
          <w:szCs w:val="22"/>
        </w:rPr>
        <w:t xml:space="preserve"> of study data</w:t>
      </w:r>
      <w:r w:rsidR="00A94B91" w:rsidRPr="00316B27">
        <w:rPr>
          <w:rFonts w:ascii="Arial" w:hAnsi="Arial" w:cs="Arial"/>
          <w:bCs/>
          <w:color w:val="auto"/>
          <w:sz w:val="22"/>
          <w:szCs w:val="22"/>
        </w:rPr>
        <w:t xml:space="preserve">.  </w:t>
      </w:r>
    </w:p>
    <w:p w14:paraId="7F2C40F4" w14:textId="77777777" w:rsidR="008A7501" w:rsidRPr="00316B27" w:rsidRDefault="00A94B91" w:rsidP="00D059E6">
      <w:pPr>
        <w:pStyle w:val="Default"/>
        <w:spacing w:before="120" w:after="120"/>
        <w:rPr>
          <w:rFonts w:ascii="Arial" w:hAnsi="Arial" w:cs="Arial"/>
          <w:bCs/>
          <w:color w:val="auto"/>
          <w:sz w:val="22"/>
          <w:szCs w:val="22"/>
        </w:rPr>
      </w:pPr>
      <w:r w:rsidRPr="00316B27">
        <w:rPr>
          <w:rFonts w:ascii="Arial" w:hAnsi="Arial" w:cs="Arial"/>
          <w:bCs/>
          <w:color w:val="auto"/>
          <w:sz w:val="22"/>
          <w:szCs w:val="22"/>
        </w:rPr>
        <w:t xml:space="preserve">Measures to protect the confidentiality of study </w:t>
      </w:r>
      <w:r w:rsidR="00B01F07" w:rsidRPr="00316B27">
        <w:rPr>
          <w:rFonts w:ascii="Arial" w:hAnsi="Arial" w:cs="Arial"/>
          <w:bCs/>
          <w:color w:val="auto"/>
          <w:sz w:val="22"/>
          <w:szCs w:val="22"/>
        </w:rPr>
        <w:t xml:space="preserve">data </w:t>
      </w:r>
      <w:r w:rsidRPr="00316B27">
        <w:rPr>
          <w:rFonts w:ascii="Arial" w:hAnsi="Arial" w:cs="Arial"/>
          <w:bCs/>
          <w:color w:val="auto"/>
          <w:sz w:val="22"/>
          <w:szCs w:val="22"/>
        </w:rPr>
        <w:t>will be implemented as described in the Data Handling and Recordkeeping section below.</w:t>
      </w:r>
      <w:r w:rsidR="008A7501" w:rsidRPr="00316B27">
        <w:rPr>
          <w:rFonts w:ascii="Arial" w:hAnsi="Arial" w:cs="Arial"/>
          <w:bCs/>
          <w:color w:val="auto"/>
          <w:sz w:val="22"/>
          <w:szCs w:val="22"/>
        </w:rPr>
        <w:t xml:space="preserve"> </w:t>
      </w:r>
    </w:p>
    <w:p w14:paraId="3EEB1C47" w14:textId="079814DF" w:rsidR="00316B27" w:rsidRPr="00316B27" w:rsidRDefault="0054144C" w:rsidP="00D059E6">
      <w:pPr>
        <w:pStyle w:val="Default"/>
        <w:spacing w:before="120" w:after="120"/>
        <w:rPr>
          <w:rFonts w:ascii="Arial" w:hAnsi="Arial" w:cs="Arial"/>
          <w:bCs/>
          <w:color w:val="auto"/>
          <w:sz w:val="22"/>
          <w:szCs w:val="22"/>
        </w:rPr>
      </w:pPr>
      <w:r w:rsidRPr="00316B27">
        <w:rPr>
          <w:rFonts w:ascii="Arial" w:hAnsi="Arial" w:cs="Arial"/>
          <w:bCs/>
          <w:color w:val="auto"/>
          <w:sz w:val="22"/>
          <w:szCs w:val="22"/>
        </w:rPr>
        <w:t>There will be no direct benefits to the study participants; however, knowledge gained from the study could potentially benefit patients in the future.</w:t>
      </w:r>
      <w:r w:rsidR="00C415B1">
        <w:rPr>
          <w:rFonts w:ascii="Arial" w:hAnsi="Arial" w:cs="Arial"/>
          <w:bCs/>
          <w:color w:val="auto"/>
          <w:sz w:val="22"/>
          <w:szCs w:val="22"/>
        </w:rPr>
        <w:t xml:space="preserve"> </w:t>
      </w:r>
      <w:r w:rsidR="00316B27" w:rsidRPr="00316B27">
        <w:rPr>
          <w:rFonts w:ascii="Arial" w:hAnsi="Arial" w:cs="Arial"/>
          <w:bCs/>
          <w:color w:val="auto"/>
          <w:sz w:val="22"/>
          <w:szCs w:val="22"/>
        </w:rPr>
        <w:t>The PI will review data periodically and ensure that the risk/benefit ratio remains as expected throughout the study.</w:t>
      </w:r>
    </w:p>
    <w:p w14:paraId="7BB9228D" w14:textId="77777777" w:rsidR="00A87FB4" w:rsidRPr="00A94B91" w:rsidRDefault="00457286" w:rsidP="00D059E6">
      <w:pPr>
        <w:spacing w:before="120" w:after="120"/>
        <w:ind w:left="0"/>
        <w:rPr>
          <w:b/>
          <w:color w:val="auto"/>
        </w:rPr>
      </w:pPr>
      <w:r w:rsidRPr="00A94B91">
        <w:rPr>
          <w:b/>
          <w:color w:val="auto"/>
        </w:rPr>
        <w:t>Data Handling and Recordkeeping</w:t>
      </w:r>
    </w:p>
    <w:p w14:paraId="28B176CE" w14:textId="27DC72C4" w:rsidR="00D82232" w:rsidRDefault="0054144C" w:rsidP="00D82232">
      <w:pPr>
        <w:spacing w:before="120" w:after="120" w:line="276" w:lineRule="auto"/>
        <w:ind w:left="0"/>
        <w:rPr>
          <w:color w:val="auto"/>
          <w:sz w:val="22"/>
          <w:szCs w:val="22"/>
        </w:rPr>
      </w:pPr>
      <w:r w:rsidRPr="00C50CBE">
        <w:rPr>
          <w:color w:val="auto"/>
          <w:sz w:val="22"/>
          <w:szCs w:val="22"/>
        </w:rPr>
        <w:t xml:space="preserve">The Principal Investigator will carefully monitor study procedures to protect the safety of research subjects, the quality of the data and the integrity of the study.  </w:t>
      </w:r>
      <w:r w:rsidR="00D82232" w:rsidRPr="00D82232">
        <w:rPr>
          <w:color w:val="auto"/>
          <w:sz w:val="22"/>
          <w:szCs w:val="22"/>
        </w:rPr>
        <w:t>Data collected from the web portal will be stored on a secure server located within the United States.</w:t>
      </w:r>
      <w:r w:rsidR="00D82232">
        <w:rPr>
          <w:color w:val="auto"/>
          <w:sz w:val="22"/>
          <w:szCs w:val="22"/>
        </w:rPr>
        <w:t xml:space="preserve"> </w:t>
      </w:r>
      <w:r w:rsidR="00D82232" w:rsidRPr="00D82232">
        <w:rPr>
          <w:color w:val="auto"/>
          <w:sz w:val="22"/>
          <w:szCs w:val="22"/>
        </w:rPr>
        <w:t>The research team will maintain an up-to-date list of authorized individuals who have access to the data.</w:t>
      </w:r>
      <w:r w:rsidR="00D82232">
        <w:rPr>
          <w:color w:val="auto"/>
          <w:sz w:val="22"/>
          <w:szCs w:val="22"/>
        </w:rPr>
        <w:t xml:space="preserve"> </w:t>
      </w:r>
      <w:r w:rsidR="00D82232" w:rsidRPr="00D82232">
        <w:rPr>
          <w:color w:val="auto"/>
          <w:sz w:val="22"/>
          <w:szCs w:val="22"/>
        </w:rPr>
        <w:t xml:space="preserve">All data will be de-identified by removing any </w:t>
      </w:r>
      <w:r w:rsidR="00D82232">
        <w:rPr>
          <w:color w:val="auto"/>
          <w:sz w:val="22"/>
          <w:szCs w:val="22"/>
        </w:rPr>
        <w:t xml:space="preserve">protected health information (see data sheet for full list of variables). </w:t>
      </w:r>
      <w:r w:rsidR="00D82232" w:rsidRPr="00D82232">
        <w:rPr>
          <w:color w:val="auto"/>
          <w:sz w:val="22"/>
          <w:szCs w:val="22"/>
        </w:rPr>
        <w:t xml:space="preserve">A unique study identifier will be assigned to each participant to link their </w:t>
      </w:r>
      <w:r w:rsidR="00D82232">
        <w:rPr>
          <w:color w:val="auto"/>
          <w:sz w:val="22"/>
          <w:szCs w:val="22"/>
        </w:rPr>
        <w:t xml:space="preserve">organizational and study data.  </w:t>
      </w:r>
      <w:r w:rsidR="00D82232" w:rsidRPr="00D82232">
        <w:rPr>
          <w:color w:val="auto"/>
          <w:sz w:val="22"/>
          <w:szCs w:val="22"/>
        </w:rPr>
        <w:t>The study team will use a secure, password-protected online data management system to enter, store, and manage the de-identified data</w:t>
      </w:r>
      <w:r w:rsidR="00D82232">
        <w:rPr>
          <w:color w:val="auto"/>
          <w:sz w:val="22"/>
          <w:szCs w:val="22"/>
        </w:rPr>
        <w:t xml:space="preserve"> that is HIPAA compliant.  </w:t>
      </w:r>
      <w:r w:rsidR="00D82232" w:rsidRPr="00D82232">
        <w:rPr>
          <w:color w:val="auto"/>
          <w:sz w:val="22"/>
          <w:szCs w:val="22"/>
        </w:rPr>
        <w:t>The web portal will be secured by HTTPS (</w:t>
      </w:r>
      <w:proofErr w:type="spellStart"/>
      <w:r w:rsidR="00D82232" w:rsidRPr="00D82232">
        <w:rPr>
          <w:color w:val="auto"/>
          <w:sz w:val="22"/>
          <w:szCs w:val="22"/>
        </w:rPr>
        <w:t>HyperText</w:t>
      </w:r>
      <w:proofErr w:type="spellEnd"/>
      <w:r w:rsidR="00D82232" w:rsidRPr="00D82232">
        <w:rPr>
          <w:color w:val="auto"/>
          <w:sz w:val="22"/>
          <w:szCs w:val="22"/>
        </w:rPr>
        <w:t xml:space="preserve"> Transfer Protocol Secure) encryption to ensure data security during transmission.</w:t>
      </w:r>
    </w:p>
    <w:p w14:paraId="297B30FB" w14:textId="0D9D91CC" w:rsidR="00EE1CF9" w:rsidRDefault="00EE1CF9" w:rsidP="00EE1CF9">
      <w:pPr>
        <w:pStyle w:val="NormalWeb"/>
      </w:pPr>
      <w:r>
        <w:rPr>
          <w:rFonts w:ascii="Arial" w:hAnsi="Arial" w:cs="Arial"/>
          <w:b/>
          <w:bCs/>
          <w:sz w:val="22"/>
          <w:szCs w:val="22"/>
        </w:rPr>
        <w:t xml:space="preserve">TQIP data pull: </w:t>
      </w:r>
      <w:r>
        <w:rPr>
          <w:rFonts w:ascii="ArialMT" w:hAnsi="ArialMT"/>
          <w:sz w:val="22"/>
          <w:szCs w:val="22"/>
        </w:rPr>
        <w:t>All ACS verified trauma centers are required to maintain a registry of all admitted trauma patients.</w:t>
      </w:r>
      <w:r>
        <w:rPr>
          <w:rFonts w:ascii="ArialMT" w:hAnsi="ArialMT"/>
          <w:position w:val="8"/>
          <w:sz w:val="14"/>
          <w:szCs w:val="14"/>
        </w:rPr>
        <w:t xml:space="preserve">14 </w:t>
      </w:r>
      <w:r>
        <w:rPr>
          <w:rFonts w:ascii="ArialMT" w:hAnsi="ArialMT"/>
          <w:sz w:val="22"/>
          <w:szCs w:val="22"/>
        </w:rPr>
        <w:t xml:space="preserve">This registry uses the National Trauma Data Standard for every variable. Most of these institutions participate in TQIP, which requires quarterly data submission. The data is submitted as an XML file, </w:t>
      </w:r>
      <w:proofErr w:type="gramStart"/>
      <w:r>
        <w:rPr>
          <w:rFonts w:ascii="ArialMT" w:hAnsi="ArialMT"/>
          <w:sz w:val="22"/>
          <w:szCs w:val="22"/>
        </w:rPr>
        <w:t>To</w:t>
      </w:r>
      <w:proofErr w:type="gramEnd"/>
      <w:r>
        <w:rPr>
          <w:rFonts w:ascii="ArialMT" w:hAnsi="ArialMT"/>
          <w:sz w:val="22"/>
          <w:szCs w:val="22"/>
        </w:rPr>
        <w:t xml:space="preserve"> facilitate compliance with the study, we will time our questionnaires with two of the quarterly submissions and collect synchronous data. As the TQIP participants are already preparing the data submission, we do not anticipate additional work for the centers submitting their data to the project. The trauma centers will submit to TQIP as normal and as part of that submission, TQIP validates every XML file for compliance.</w:t>
      </w:r>
      <w:r>
        <w:rPr>
          <w:rFonts w:ascii="ArialMT" w:hAnsi="ArialMT"/>
          <w:position w:val="8"/>
          <w:sz w:val="14"/>
          <w:szCs w:val="14"/>
        </w:rPr>
        <w:t xml:space="preserve">  </w:t>
      </w:r>
      <w:r>
        <w:rPr>
          <w:rFonts w:ascii="ArialMT" w:hAnsi="ArialMT"/>
          <w:sz w:val="22"/>
          <w:szCs w:val="22"/>
        </w:rPr>
        <w:t xml:space="preserve">Once a file is deemed compliant, we will ask the participating trauma center to submit the same file through our web interface. This will ensure data consistency and minimize the burden on the trauma center. </w:t>
      </w:r>
    </w:p>
    <w:p w14:paraId="7612E43F" w14:textId="5732DA4A" w:rsidR="00EE1CF9" w:rsidRDefault="00EE1CF9" w:rsidP="00EE1CF9">
      <w:pPr>
        <w:pStyle w:val="NormalWeb"/>
      </w:pPr>
      <w:r>
        <w:rPr>
          <w:rFonts w:ascii="ArialMT" w:hAnsi="ArialMT"/>
          <w:sz w:val="22"/>
          <w:szCs w:val="22"/>
        </w:rPr>
        <w:t xml:space="preserve">We will use a website to collect data about organizational parameters of the participating trauma centers. The original CAFE trauma center questionnaire has a total of 109 parameters that are assessed. To minimize the workload for participants, we have restricted the number of CAFE questions to be imported to the TIPTOE questionnaire to 40 parameters. Each participating Level 1 trauma and level 2 trauma center will complete the questionnaire every 6 months for the duration of the project. </w:t>
      </w:r>
    </w:p>
    <w:p w14:paraId="121FCAF7" w14:textId="77777777" w:rsidR="00D82232" w:rsidRPr="00D82232" w:rsidRDefault="00D82232" w:rsidP="00D82232">
      <w:pPr>
        <w:spacing w:before="120" w:after="120" w:line="276" w:lineRule="auto"/>
        <w:ind w:left="0"/>
        <w:rPr>
          <w:color w:val="auto"/>
          <w:sz w:val="22"/>
          <w:szCs w:val="22"/>
        </w:rPr>
      </w:pPr>
      <w:r w:rsidRPr="00D82232">
        <w:rPr>
          <w:color w:val="auto"/>
          <w:sz w:val="22"/>
          <w:szCs w:val="22"/>
        </w:rPr>
        <w:t>Data Retention:</w:t>
      </w:r>
    </w:p>
    <w:p w14:paraId="5EAD24F8" w14:textId="34C53C6E" w:rsidR="00D82232" w:rsidRPr="00C50CBE" w:rsidRDefault="00D82232" w:rsidP="00D82232">
      <w:pPr>
        <w:spacing w:before="120" w:after="120" w:line="276" w:lineRule="auto"/>
        <w:ind w:left="0"/>
        <w:rPr>
          <w:color w:val="auto"/>
          <w:sz w:val="22"/>
          <w:szCs w:val="22"/>
        </w:rPr>
      </w:pPr>
      <w:r w:rsidRPr="00D82232">
        <w:rPr>
          <w:color w:val="auto"/>
          <w:sz w:val="22"/>
          <w:szCs w:val="22"/>
        </w:rPr>
        <w:t>The de-identified data collected from the web portal will be retained for a minimum of five years after the completion of the study.</w:t>
      </w:r>
      <w:r w:rsidR="00EE1CF9">
        <w:rPr>
          <w:color w:val="auto"/>
          <w:sz w:val="22"/>
          <w:szCs w:val="22"/>
        </w:rPr>
        <w:t xml:space="preserve"> </w:t>
      </w:r>
      <w:r w:rsidRPr="00D82232">
        <w:rPr>
          <w:color w:val="auto"/>
          <w:sz w:val="22"/>
          <w:szCs w:val="22"/>
        </w:rPr>
        <w:t>At the end of the retention period, the data will be destroyed in a manner that ensures the data cannot be reconstructed or accessed.</w:t>
      </w:r>
      <w:r w:rsidR="00EE1CF9">
        <w:rPr>
          <w:color w:val="auto"/>
          <w:sz w:val="22"/>
          <w:szCs w:val="22"/>
        </w:rPr>
        <w:t xml:space="preserve"> </w:t>
      </w:r>
      <w:r w:rsidRPr="00D82232">
        <w:rPr>
          <w:color w:val="auto"/>
          <w:sz w:val="22"/>
          <w:szCs w:val="22"/>
        </w:rPr>
        <w:t>The study team will ensure that the destruction of data complies with applicable regulations and institutional policies.</w:t>
      </w:r>
      <w:r w:rsidR="00EE1CF9">
        <w:rPr>
          <w:color w:val="auto"/>
          <w:sz w:val="22"/>
          <w:szCs w:val="22"/>
        </w:rPr>
        <w:t xml:space="preserve"> </w:t>
      </w:r>
      <w:r w:rsidRPr="00D82232">
        <w:rPr>
          <w:color w:val="auto"/>
          <w:sz w:val="22"/>
          <w:szCs w:val="22"/>
        </w:rPr>
        <w:lastRenderedPageBreak/>
        <w:t>The study team will document the destruction of data, including the date and method of destruction.</w:t>
      </w:r>
    </w:p>
    <w:p w14:paraId="5459E294" w14:textId="77777777" w:rsidR="00D82232" w:rsidRDefault="00D82232" w:rsidP="007C7BFC">
      <w:pPr>
        <w:spacing w:before="120" w:after="120"/>
        <w:ind w:left="0"/>
        <w:rPr>
          <w:b/>
          <w:bCs/>
          <w:color w:val="auto"/>
        </w:rPr>
      </w:pPr>
    </w:p>
    <w:p w14:paraId="43C166F7" w14:textId="07514893" w:rsidR="007C7BFC" w:rsidRPr="007C7BFC" w:rsidRDefault="007C7BFC" w:rsidP="007C7BFC">
      <w:pPr>
        <w:spacing w:before="120" w:after="120"/>
        <w:ind w:left="0"/>
        <w:rPr>
          <w:color w:val="auto"/>
        </w:rPr>
      </w:pPr>
      <w:r w:rsidRPr="007C7BFC">
        <w:rPr>
          <w:b/>
          <w:bCs/>
          <w:color w:val="auto"/>
        </w:rPr>
        <w:t>Multisite Research</w:t>
      </w:r>
    </w:p>
    <w:p w14:paraId="28E251D8" w14:textId="74EF66A7" w:rsidR="008870F8" w:rsidRPr="00DB3F69" w:rsidRDefault="001F001E" w:rsidP="00DB3F69">
      <w:pPr>
        <w:spacing w:after="240"/>
        <w:ind w:left="0"/>
        <w:rPr>
          <w:b/>
          <w:color w:val="auto"/>
        </w:rPr>
      </w:pPr>
      <w:r w:rsidRPr="008870F8">
        <w:rPr>
          <w:color w:val="auto"/>
          <w:sz w:val="22"/>
          <w:szCs w:val="22"/>
        </w:rPr>
        <w:t xml:space="preserve">This is a multisite observational study. </w:t>
      </w:r>
      <w:r w:rsidR="007B5F13" w:rsidRPr="008870F8">
        <w:rPr>
          <w:color w:val="auto"/>
          <w:sz w:val="22"/>
          <w:szCs w:val="22"/>
        </w:rPr>
        <w:t xml:space="preserve">The data collected from each site will be uploaded to a secure server, where it will be converted to a usable data format, analyzed for adherence </w:t>
      </w:r>
      <w:r w:rsidR="007B5F13" w:rsidRPr="007668B7">
        <w:rPr>
          <w:color w:val="auto"/>
          <w:sz w:val="22"/>
          <w:szCs w:val="22"/>
        </w:rPr>
        <w:t xml:space="preserve">to </w:t>
      </w:r>
      <w:r w:rsidR="00C81202" w:rsidRPr="007668B7">
        <w:rPr>
          <w:color w:val="auto"/>
          <w:sz w:val="22"/>
          <w:szCs w:val="22"/>
        </w:rPr>
        <w:t>study protocol as submitted to the UAMS IRB.</w:t>
      </w:r>
    </w:p>
    <w:p w14:paraId="02D79172" w14:textId="77777777" w:rsidR="00A87FB4" w:rsidRPr="00A94B91" w:rsidRDefault="00A94B91" w:rsidP="00D059E6">
      <w:pPr>
        <w:spacing w:before="120" w:after="120"/>
        <w:ind w:left="0"/>
        <w:rPr>
          <w:b/>
          <w:color w:val="auto"/>
        </w:rPr>
      </w:pPr>
      <w:r w:rsidRPr="00A94B91">
        <w:rPr>
          <w:b/>
          <w:color w:val="auto"/>
        </w:rPr>
        <w:t>Data Analysis</w:t>
      </w:r>
    </w:p>
    <w:p w14:paraId="62FC81DE" w14:textId="77777777" w:rsidR="00EE1CF9" w:rsidRPr="00EE1CF9" w:rsidRDefault="00EE1CF9" w:rsidP="00EE1CF9">
      <w:pPr>
        <w:pStyle w:val="NormalWeb"/>
      </w:pPr>
      <w:r>
        <w:rPr>
          <w:rFonts w:ascii="Arial" w:hAnsi="Arial" w:cs="Arial"/>
          <w:i/>
          <w:iCs/>
          <w:sz w:val="22"/>
          <w:szCs w:val="22"/>
        </w:rPr>
        <w:t xml:space="preserve">Descriptive statistics. </w:t>
      </w:r>
      <w:r>
        <w:rPr>
          <w:rFonts w:ascii="ArialMT" w:hAnsi="ArialMT"/>
          <w:sz w:val="22"/>
          <w:szCs w:val="22"/>
        </w:rPr>
        <w:t>We will calculate means and percentages for the trauma center outcomes, TIPTOE parameters, mechanism of injury (blunt vs. penetrating), severe brain injury, and geriatric admissions. Primary Analysis. The primary goal is to examine the relationships between the 40 TIPTOE parameters with trauma patient outcomes and identify the most influential predictors. More specifically, we will fit appropriate multivariable regression models to examine the relative impacts of these parameters on the trauma center patient outcomes. Initially, the analyses will be performed on the aggregate data from each trauma center. Given that the TIPTOE questionnaire will be completed every 6-months for the duration of the study, we will use separate linear mixed model for longitudinal data to allow for time- varying covariates to examine both the within-center and between-center effects. We will examine the relative importance of these variables based on the traditional inspection of standardized regression coefficients. Given that we are taking a conservative approach well-described in the literature, we will perform dominance analysis to determine the relative importance of the predictors. Dominance analysis examines the change in R</w:t>
      </w:r>
      <w:r>
        <w:rPr>
          <w:rFonts w:ascii="ArialMT" w:hAnsi="ArialMT"/>
          <w:position w:val="8"/>
          <w:sz w:val="14"/>
          <w:szCs w:val="14"/>
        </w:rPr>
        <w:t xml:space="preserve">2 </w:t>
      </w:r>
      <w:r>
        <w:rPr>
          <w:rFonts w:ascii="ArialMT" w:hAnsi="ArialMT"/>
          <w:sz w:val="22"/>
          <w:szCs w:val="22"/>
        </w:rPr>
        <w:t xml:space="preserve">resulting from the addition of a predictor to all possible subset regression models. </w:t>
      </w:r>
    </w:p>
    <w:p w14:paraId="7154B99F" w14:textId="77777777" w:rsidR="000865FE" w:rsidRDefault="000865FE" w:rsidP="00D059E6">
      <w:pPr>
        <w:spacing w:before="120" w:after="120"/>
        <w:ind w:left="0"/>
        <w:rPr>
          <w:b/>
          <w:color w:val="auto"/>
        </w:rPr>
      </w:pPr>
    </w:p>
    <w:p w14:paraId="5A61F09C" w14:textId="77777777" w:rsidR="00A87FB4" w:rsidRDefault="00A87FB4" w:rsidP="00D059E6">
      <w:pPr>
        <w:spacing w:before="120" w:after="120"/>
        <w:ind w:left="0"/>
        <w:rPr>
          <w:b/>
          <w:color w:val="auto"/>
        </w:rPr>
      </w:pPr>
      <w:r w:rsidRPr="009777B6">
        <w:rPr>
          <w:b/>
          <w:color w:val="auto"/>
        </w:rPr>
        <w:t>Ethical Considerations</w:t>
      </w:r>
    </w:p>
    <w:p w14:paraId="55586275" w14:textId="50E11316" w:rsidR="00AB52CF" w:rsidRPr="00CF79FF" w:rsidRDefault="009777B6" w:rsidP="00CF79FF">
      <w:pPr>
        <w:spacing w:before="120" w:after="120"/>
        <w:ind w:left="0"/>
        <w:rPr>
          <w:color w:val="auto"/>
          <w:sz w:val="22"/>
          <w:szCs w:val="22"/>
        </w:rPr>
      </w:pPr>
      <w:r w:rsidRPr="00CF79FF">
        <w:rPr>
          <w:color w:val="auto"/>
          <w:sz w:val="22"/>
          <w:szCs w:val="22"/>
        </w:rPr>
        <w:t>This study will be conducted in accordance with all applicable government regulations and University of Arkansas for Medical Sciences research policies and procedures.  This protocol and any amendments will be submitted and approved by the</w:t>
      </w:r>
      <w:r w:rsidR="004828E1" w:rsidRPr="00CF79FF">
        <w:rPr>
          <w:color w:val="auto"/>
          <w:sz w:val="22"/>
          <w:szCs w:val="22"/>
        </w:rPr>
        <w:t xml:space="preserve"> IRB as required</w:t>
      </w:r>
      <w:r w:rsidRPr="00CF79FF">
        <w:rPr>
          <w:color w:val="auto"/>
          <w:sz w:val="22"/>
          <w:szCs w:val="22"/>
        </w:rPr>
        <w:t xml:space="preserve">.  </w:t>
      </w:r>
    </w:p>
    <w:p w14:paraId="279AA846" w14:textId="4C1796C5" w:rsidR="008B1335" w:rsidRPr="00DB3F69" w:rsidRDefault="00BC3386" w:rsidP="008A3612">
      <w:pPr>
        <w:pStyle w:val="Style1"/>
        <w:numPr>
          <w:ilvl w:val="0"/>
          <w:numId w:val="0"/>
        </w:numPr>
        <w:spacing w:before="120" w:after="120"/>
        <w:rPr>
          <w:b w:val="0"/>
          <w:iCs/>
          <w:color w:val="auto"/>
          <w:sz w:val="22"/>
          <w:szCs w:val="22"/>
        </w:rPr>
      </w:pPr>
      <w:r w:rsidRPr="00777353">
        <w:rPr>
          <w:b w:val="0"/>
          <w:color w:val="auto"/>
          <w:sz w:val="22"/>
          <w:szCs w:val="22"/>
        </w:rPr>
        <w:t xml:space="preserve">A waiver of </w:t>
      </w:r>
      <w:r w:rsidR="00090A34" w:rsidRPr="00777353">
        <w:rPr>
          <w:b w:val="0"/>
          <w:color w:val="auto"/>
          <w:sz w:val="22"/>
          <w:szCs w:val="22"/>
        </w:rPr>
        <w:t xml:space="preserve">the </w:t>
      </w:r>
      <w:r w:rsidRPr="00777353">
        <w:rPr>
          <w:b w:val="0"/>
          <w:color w:val="auto"/>
          <w:sz w:val="22"/>
          <w:szCs w:val="22"/>
        </w:rPr>
        <w:t xml:space="preserve">informed consent </w:t>
      </w:r>
      <w:r w:rsidR="00090A34" w:rsidRPr="00777353">
        <w:rPr>
          <w:b w:val="0"/>
          <w:color w:val="auto"/>
          <w:sz w:val="22"/>
          <w:szCs w:val="22"/>
        </w:rPr>
        <w:t xml:space="preserve">process </w:t>
      </w:r>
      <w:r w:rsidRPr="00777353">
        <w:rPr>
          <w:b w:val="0"/>
          <w:color w:val="auto"/>
          <w:sz w:val="22"/>
          <w:szCs w:val="22"/>
        </w:rPr>
        <w:t xml:space="preserve">is requested as this research involves no more than minimal risk to the subjects; a waiver will not adversely affect the rights and welfare of the subjects; </w:t>
      </w:r>
      <w:r w:rsidR="00D059E6" w:rsidRPr="00777353">
        <w:rPr>
          <w:b w:val="0"/>
          <w:color w:val="auto"/>
          <w:sz w:val="22"/>
          <w:szCs w:val="22"/>
        </w:rPr>
        <w:t xml:space="preserve">and </w:t>
      </w:r>
      <w:r w:rsidRPr="00777353">
        <w:rPr>
          <w:b w:val="0"/>
          <w:color w:val="auto"/>
          <w:sz w:val="22"/>
          <w:szCs w:val="22"/>
        </w:rPr>
        <w:t>the research could not practicably be carried out with</w:t>
      </w:r>
      <w:r w:rsidR="0089072D" w:rsidRPr="00777353">
        <w:rPr>
          <w:b w:val="0"/>
          <w:color w:val="auto"/>
          <w:sz w:val="22"/>
          <w:szCs w:val="22"/>
        </w:rPr>
        <w:t>out</w:t>
      </w:r>
      <w:r w:rsidRPr="00777353">
        <w:rPr>
          <w:b w:val="0"/>
          <w:color w:val="auto"/>
          <w:sz w:val="22"/>
          <w:szCs w:val="22"/>
        </w:rPr>
        <w:t xml:space="preserve"> the waiver</w:t>
      </w:r>
      <w:r w:rsidR="00CD587F" w:rsidRPr="00777353">
        <w:rPr>
          <w:b w:val="0"/>
          <w:color w:val="auto"/>
          <w:sz w:val="22"/>
          <w:szCs w:val="22"/>
        </w:rPr>
        <w:t xml:space="preserve">. </w:t>
      </w:r>
      <w:r w:rsidR="001461DC" w:rsidRPr="00777353">
        <w:rPr>
          <w:b w:val="0"/>
          <w:color w:val="auto"/>
          <w:sz w:val="22"/>
          <w:szCs w:val="22"/>
        </w:rPr>
        <w:t>The study involves protected health information (PHI) as described in this protoco</w:t>
      </w:r>
      <w:r w:rsidR="00504871">
        <w:rPr>
          <w:b w:val="0"/>
          <w:color w:val="auto"/>
          <w:sz w:val="22"/>
          <w:szCs w:val="22"/>
        </w:rPr>
        <w:t>l</w:t>
      </w:r>
      <w:r w:rsidR="001461DC" w:rsidRPr="00777353">
        <w:rPr>
          <w:b w:val="0"/>
          <w:color w:val="auto"/>
          <w:sz w:val="22"/>
          <w:szCs w:val="22"/>
        </w:rPr>
        <w:t>. Plans to protect identifiers and to destroy identifiers as soon as practicable are described in the Data Handling and Recordkeeping section.</w:t>
      </w:r>
      <w:r w:rsidR="00504871">
        <w:rPr>
          <w:b w:val="0"/>
          <w:color w:val="auto"/>
          <w:sz w:val="22"/>
          <w:szCs w:val="22"/>
        </w:rPr>
        <w:t xml:space="preserve"> </w:t>
      </w:r>
      <w:r w:rsidR="00CC0FF8" w:rsidRPr="00777353">
        <w:rPr>
          <w:b w:val="0"/>
          <w:color w:val="auto"/>
          <w:sz w:val="22"/>
          <w:szCs w:val="22"/>
        </w:rPr>
        <w:t xml:space="preserve">The research cannot practicably be carried out without the HIPAA authorization because </w:t>
      </w:r>
      <w:r w:rsidR="00504871" w:rsidRPr="00777353">
        <w:rPr>
          <w:b w:val="0"/>
          <w:color w:val="auto"/>
          <w:sz w:val="22"/>
          <w:szCs w:val="22"/>
        </w:rPr>
        <w:t>PHI must be accessed/used to complete the research.</w:t>
      </w:r>
    </w:p>
    <w:p w14:paraId="56B826A0" w14:textId="77777777" w:rsidR="00DB3F69" w:rsidRDefault="00DB3F69" w:rsidP="00D059E6">
      <w:pPr>
        <w:spacing w:before="120" w:after="120"/>
        <w:ind w:left="0"/>
        <w:rPr>
          <w:b/>
          <w:color w:val="auto"/>
        </w:rPr>
      </w:pPr>
    </w:p>
    <w:p w14:paraId="3AC46927" w14:textId="3FFFE31A" w:rsidR="00356CC4" w:rsidRPr="00185C82" w:rsidRDefault="00614062" w:rsidP="00D059E6">
      <w:pPr>
        <w:spacing w:before="120" w:after="120"/>
        <w:ind w:left="0"/>
        <w:rPr>
          <w:b/>
          <w:color w:val="auto"/>
        </w:rPr>
      </w:pPr>
      <w:r w:rsidRPr="00185C82">
        <w:rPr>
          <w:b/>
          <w:color w:val="auto"/>
        </w:rPr>
        <w:t>Dissemination of Data</w:t>
      </w:r>
    </w:p>
    <w:p w14:paraId="438B576B" w14:textId="2A6981E1" w:rsidR="00786D97" w:rsidRPr="008870F8" w:rsidRDefault="00BC3386" w:rsidP="00D059E6">
      <w:pPr>
        <w:pStyle w:val="Default"/>
        <w:spacing w:before="120" w:after="120"/>
        <w:rPr>
          <w:rFonts w:ascii="Arial" w:hAnsi="Arial" w:cs="Arial"/>
          <w:sz w:val="22"/>
          <w:szCs w:val="22"/>
        </w:rPr>
      </w:pPr>
      <w:r w:rsidRPr="008870F8">
        <w:rPr>
          <w:rFonts w:ascii="Arial" w:hAnsi="Arial" w:cs="Arial"/>
          <w:color w:val="auto"/>
          <w:sz w:val="22"/>
          <w:szCs w:val="22"/>
        </w:rPr>
        <w:t>Results of this study may be used for presentations, posters, or publications. The publications will not contain any identifiable information that could be linked to a participant.</w:t>
      </w:r>
      <w:r w:rsidR="00067168" w:rsidRPr="008870F8">
        <w:rPr>
          <w:rFonts w:ascii="Arial" w:hAnsi="Arial" w:cs="Arial"/>
          <w:sz w:val="22"/>
          <w:szCs w:val="22"/>
        </w:rPr>
        <w:t xml:space="preserve">  </w:t>
      </w:r>
    </w:p>
    <w:p w14:paraId="6DA9D3D2" w14:textId="77777777" w:rsidR="00FA0601" w:rsidRDefault="00FA0601" w:rsidP="00D059E6">
      <w:pPr>
        <w:spacing w:before="120" w:after="120"/>
        <w:ind w:left="0"/>
        <w:rPr>
          <w:b/>
          <w:color w:val="auto"/>
        </w:rPr>
      </w:pPr>
    </w:p>
    <w:p w14:paraId="0D842FEC" w14:textId="7EB48045" w:rsidR="00457286" w:rsidRPr="00067168" w:rsidRDefault="00457286" w:rsidP="00D059E6">
      <w:pPr>
        <w:spacing w:before="120" w:after="120"/>
        <w:ind w:left="0"/>
        <w:rPr>
          <w:b/>
          <w:color w:val="auto"/>
        </w:rPr>
      </w:pPr>
      <w:r w:rsidRPr="00067168">
        <w:rPr>
          <w:b/>
          <w:color w:val="auto"/>
        </w:rPr>
        <w:lastRenderedPageBreak/>
        <w:t>References</w:t>
      </w:r>
    </w:p>
    <w:p w14:paraId="3A079A01"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Florence C, </w:t>
      </w:r>
      <w:proofErr w:type="spellStart"/>
      <w:r>
        <w:rPr>
          <w:rFonts w:ascii="ArialMT" w:hAnsi="ArialMT"/>
          <w:sz w:val="22"/>
          <w:szCs w:val="22"/>
        </w:rPr>
        <w:t>Haegerich</w:t>
      </w:r>
      <w:proofErr w:type="spellEnd"/>
      <w:r>
        <w:rPr>
          <w:rFonts w:ascii="ArialMT" w:hAnsi="ArialMT"/>
          <w:sz w:val="22"/>
          <w:szCs w:val="22"/>
        </w:rPr>
        <w:t xml:space="preserve"> T, Simon T, Zhou C, Luo F. Estimated Lifetime Medical and Work-Loss Costs of Emergency Department-Treated Nonfatal Injuries--United States, 2013. </w:t>
      </w:r>
      <w:r>
        <w:rPr>
          <w:rFonts w:ascii="Arial" w:hAnsi="Arial" w:cs="Arial"/>
          <w:i/>
          <w:iCs/>
          <w:sz w:val="22"/>
          <w:szCs w:val="22"/>
        </w:rPr>
        <w:t xml:space="preserve">MMWR </w:t>
      </w:r>
      <w:proofErr w:type="spellStart"/>
      <w:r>
        <w:rPr>
          <w:rFonts w:ascii="Arial" w:hAnsi="Arial" w:cs="Arial"/>
          <w:i/>
          <w:iCs/>
          <w:sz w:val="22"/>
          <w:szCs w:val="22"/>
        </w:rPr>
        <w:t>Morb</w:t>
      </w:r>
      <w:proofErr w:type="spellEnd"/>
      <w:r>
        <w:rPr>
          <w:rFonts w:ascii="Arial" w:hAnsi="Arial" w:cs="Arial"/>
          <w:i/>
          <w:iCs/>
          <w:sz w:val="22"/>
          <w:szCs w:val="22"/>
        </w:rPr>
        <w:t xml:space="preserve"> Mortal </w:t>
      </w:r>
      <w:proofErr w:type="spellStart"/>
      <w:r>
        <w:rPr>
          <w:rFonts w:ascii="Arial" w:hAnsi="Arial" w:cs="Arial"/>
          <w:i/>
          <w:iCs/>
          <w:sz w:val="22"/>
          <w:szCs w:val="22"/>
        </w:rPr>
        <w:t>Wkly</w:t>
      </w:r>
      <w:proofErr w:type="spellEnd"/>
      <w:r>
        <w:rPr>
          <w:rFonts w:ascii="Arial" w:hAnsi="Arial" w:cs="Arial"/>
          <w:i/>
          <w:iCs/>
          <w:sz w:val="22"/>
          <w:szCs w:val="22"/>
        </w:rPr>
        <w:t xml:space="preserve"> Rep</w:t>
      </w:r>
      <w:r>
        <w:rPr>
          <w:rFonts w:ascii="ArialMT" w:hAnsi="ArialMT"/>
          <w:sz w:val="22"/>
          <w:szCs w:val="22"/>
        </w:rPr>
        <w:t xml:space="preserve">. 2015;64(38):1078-1082. doi:10.15585/mmwr.mm6438a5 </w:t>
      </w:r>
    </w:p>
    <w:p w14:paraId="50ABF280"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Shafi S, Stewart RM, </w:t>
      </w:r>
      <w:proofErr w:type="spellStart"/>
      <w:r>
        <w:rPr>
          <w:rFonts w:ascii="ArialMT" w:hAnsi="ArialMT"/>
          <w:sz w:val="22"/>
          <w:szCs w:val="22"/>
        </w:rPr>
        <w:t>Nathens</w:t>
      </w:r>
      <w:proofErr w:type="spellEnd"/>
      <w:r>
        <w:rPr>
          <w:rFonts w:ascii="ArialMT" w:hAnsi="ArialMT"/>
          <w:sz w:val="22"/>
          <w:szCs w:val="22"/>
        </w:rPr>
        <w:t xml:space="preserve"> AB, Friese RS, Frankel H, </w:t>
      </w:r>
      <w:proofErr w:type="spellStart"/>
      <w:r>
        <w:rPr>
          <w:rFonts w:ascii="ArialMT" w:hAnsi="ArialMT"/>
          <w:sz w:val="22"/>
          <w:szCs w:val="22"/>
        </w:rPr>
        <w:t>Gentilello</w:t>
      </w:r>
      <w:proofErr w:type="spellEnd"/>
      <w:r>
        <w:rPr>
          <w:rFonts w:ascii="ArialMT" w:hAnsi="ArialMT"/>
          <w:sz w:val="22"/>
          <w:szCs w:val="22"/>
        </w:rPr>
        <w:t xml:space="preserve"> LM. Significant variations in mortality occur at similarly designated trauma centers. </w:t>
      </w:r>
      <w:r>
        <w:rPr>
          <w:rFonts w:ascii="Arial" w:hAnsi="Arial" w:cs="Arial"/>
          <w:i/>
          <w:iCs/>
          <w:sz w:val="22"/>
          <w:szCs w:val="22"/>
        </w:rPr>
        <w:t>Arch Surg</w:t>
      </w:r>
      <w:r>
        <w:rPr>
          <w:rFonts w:ascii="ArialMT" w:hAnsi="ArialMT"/>
          <w:sz w:val="22"/>
          <w:szCs w:val="22"/>
        </w:rPr>
        <w:t xml:space="preserve">. 2009;144(1):64-68. doi:10.1001/archsurg.2008.509 </w:t>
      </w:r>
    </w:p>
    <w:p w14:paraId="6F83060B" w14:textId="77777777" w:rsidR="00F511D7" w:rsidRDefault="00F511D7" w:rsidP="00F511D7">
      <w:pPr>
        <w:pStyle w:val="NormalWeb"/>
        <w:numPr>
          <w:ilvl w:val="0"/>
          <w:numId w:val="13"/>
        </w:numPr>
        <w:rPr>
          <w:rFonts w:ascii="ArialMT" w:hAnsi="ArialMT"/>
          <w:sz w:val="22"/>
          <w:szCs w:val="22"/>
        </w:rPr>
      </w:pPr>
      <w:proofErr w:type="spellStart"/>
      <w:r>
        <w:rPr>
          <w:rFonts w:ascii="ArialMT" w:hAnsi="ArialMT"/>
          <w:sz w:val="22"/>
          <w:szCs w:val="22"/>
        </w:rPr>
        <w:t>Cudnik</w:t>
      </w:r>
      <w:proofErr w:type="spellEnd"/>
      <w:r>
        <w:rPr>
          <w:rFonts w:ascii="ArialMT" w:hAnsi="ArialMT"/>
          <w:sz w:val="22"/>
          <w:szCs w:val="22"/>
        </w:rPr>
        <w:t xml:space="preserve"> MT, Sayre MR, </w:t>
      </w:r>
      <w:proofErr w:type="spellStart"/>
      <w:r>
        <w:rPr>
          <w:rFonts w:ascii="ArialMT" w:hAnsi="ArialMT"/>
          <w:sz w:val="22"/>
          <w:szCs w:val="22"/>
        </w:rPr>
        <w:t>Hiestand</w:t>
      </w:r>
      <w:proofErr w:type="spellEnd"/>
      <w:r>
        <w:rPr>
          <w:rFonts w:ascii="ArialMT" w:hAnsi="ArialMT"/>
          <w:sz w:val="22"/>
          <w:szCs w:val="22"/>
        </w:rPr>
        <w:t xml:space="preserve"> B, Steinberg SM. Are All Trauma Centers Created Equally? A Statewide Analysis. </w:t>
      </w:r>
      <w:proofErr w:type="spellStart"/>
      <w:r>
        <w:rPr>
          <w:rFonts w:ascii="Arial" w:hAnsi="Arial" w:cs="Arial"/>
          <w:i/>
          <w:iCs/>
          <w:sz w:val="22"/>
          <w:szCs w:val="22"/>
        </w:rPr>
        <w:t>Acad</w:t>
      </w:r>
      <w:proofErr w:type="spellEnd"/>
      <w:r>
        <w:rPr>
          <w:rFonts w:ascii="Arial" w:hAnsi="Arial" w:cs="Arial"/>
          <w:i/>
          <w:iCs/>
          <w:sz w:val="22"/>
          <w:szCs w:val="22"/>
        </w:rPr>
        <w:t xml:space="preserve"> </w:t>
      </w:r>
      <w:proofErr w:type="spellStart"/>
      <w:r>
        <w:rPr>
          <w:rFonts w:ascii="Arial" w:hAnsi="Arial" w:cs="Arial"/>
          <w:i/>
          <w:iCs/>
          <w:sz w:val="22"/>
          <w:szCs w:val="22"/>
        </w:rPr>
        <w:t>Emerg</w:t>
      </w:r>
      <w:proofErr w:type="spellEnd"/>
      <w:r>
        <w:rPr>
          <w:rFonts w:ascii="Arial" w:hAnsi="Arial" w:cs="Arial"/>
          <w:i/>
          <w:iCs/>
          <w:sz w:val="22"/>
          <w:szCs w:val="22"/>
        </w:rPr>
        <w:t xml:space="preserve"> Med</w:t>
      </w:r>
      <w:r>
        <w:rPr>
          <w:rFonts w:ascii="ArialMT" w:hAnsi="ArialMT"/>
          <w:sz w:val="22"/>
          <w:szCs w:val="22"/>
        </w:rPr>
        <w:t>. 2010;17(7):701-708. doi:10.1111/j.1553-2712.</w:t>
      </w:r>
      <w:proofErr w:type="gramStart"/>
      <w:r>
        <w:rPr>
          <w:rFonts w:ascii="ArialMT" w:hAnsi="ArialMT"/>
          <w:sz w:val="22"/>
          <w:szCs w:val="22"/>
        </w:rPr>
        <w:t>2010.00786.x</w:t>
      </w:r>
      <w:proofErr w:type="gramEnd"/>
      <w:r>
        <w:rPr>
          <w:rFonts w:ascii="ArialMT" w:hAnsi="ArialMT"/>
          <w:sz w:val="22"/>
          <w:szCs w:val="22"/>
        </w:rPr>
        <w:t xml:space="preserve"> </w:t>
      </w:r>
    </w:p>
    <w:p w14:paraId="108BC345" w14:textId="77777777" w:rsidR="00F511D7" w:rsidRDefault="00F511D7" w:rsidP="00F511D7">
      <w:pPr>
        <w:pStyle w:val="NormalWeb"/>
        <w:numPr>
          <w:ilvl w:val="0"/>
          <w:numId w:val="13"/>
        </w:numPr>
        <w:rPr>
          <w:rFonts w:ascii="ArialMT" w:hAnsi="ArialMT"/>
          <w:sz w:val="22"/>
          <w:szCs w:val="22"/>
        </w:rPr>
      </w:pPr>
      <w:proofErr w:type="spellStart"/>
      <w:r>
        <w:rPr>
          <w:rFonts w:ascii="ArialMT" w:hAnsi="ArialMT"/>
          <w:sz w:val="22"/>
          <w:szCs w:val="22"/>
        </w:rPr>
        <w:t>Minei</w:t>
      </w:r>
      <w:proofErr w:type="spellEnd"/>
      <w:r>
        <w:rPr>
          <w:rFonts w:ascii="ArialMT" w:hAnsi="ArialMT"/>
          <w:sz w:val="22"/>
          <w:szCs w:val="22"/>
        </w:rPr>
        <w:t xml:space="preserve"> JP, Schmicker RH, Kerby JD, et al. Severe traumatic injury: regional variation in incidence and outcome. </w:t>
      </w:r>
      <w:r>
        <w:rPr>
          <w:rFonts w:ascii="Arial" w:hAnsi="Arial" w:cs="Arial"/>
          <w:i/>
          <w:iCs/>
          <w:sz w:val="22"/>
          <w:szCs w:val="22"/>
        </w:rPr>
        <w:t>Ann Surg</w:t>
      </w:r>
      <w:r>
        <w:rPr>
          <w:rFonts w:ascii="ArialMT" w:hAnsi="ArialMT"/>
          <w:sz w:val="22"/>
          <w:szCs w:val="22"/>
        </w:rPr>
        <w:t xml:space="preserve">. 2010;252(1):149-157. doi:10.1097/SLA.0b013e3181df0401 </w:t>
      </w:r>
    </w:p>
    <w:p w14:paraId="5CCED780"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Carmel S, Rowan </w:t>
      </w:r>
      <w:proofErr w:type="spellStart"/>
      <w:r>
        <w:rPr>
          <w:rFonts w:ascii="ArialMT" w:hAnsi="ArialMT"/>
          <w:sz w:val="22"/>
          <w:szCs w:val="22"/>
        </w:rPr>
        <w:t>KDp</w:t>
      </w:r>
      <w:proofErr w:type="spellEnd"/>
      <w:r>
        <w:rPr>
          <w:rFonts w:ascii="ArialMT" w:hAnsi="ArialMT"/>
          <w:sz w:val="22"/>
          <w:szCs w:val="22"/>
        </w:rPr>
        <w:t xml:space="preserve">. Variation in intensive care unit outcomes: a search for the evidence on organizational factors. </w:t>
      </w:r>
      <w:proofErr w:type="spellStart"/>
      <w:r>
        <w:rPr>
          <w:rFonts w:ascii="Arial" w:hAnsi="Arial" w:cs="Arial"/>
          <w:i/>
          <w:iCs/>
          <w:sz w:val="22"/>
          <w:szCs w:val="22"/>
        </w:rPr>
        <w:t>Curr</w:t>
      </w:r>
      <w:proofErr w:type="spellEnd"/>
      <w:r>
        <w:rPr>
          <w:rFonts w:ascii="Arial" w:hAnsi="Arial" w:cs="Arial"/>
          <w:i/>
          <w:iCs/>
          <w:sz w:val="22"/>
          <w:szCs w:val="22"/>
        </w:rPr>
        <w:t xml:space="preserve"> </w:t>
      </w:r>
      <w:proofErr w:type="spellStart"/>
      <w:r>
        <w:rPr>
          <w:rFonts w:ascii="Arial" w:hAnsi="Arial" w:cs="Arial"/>
          <w:i/>
          <w:iCs/>
          <w:sz w:val="22"/>
          <w:szCs w:val="22"/>
        </w:rPr>
        <w:t>Opin</w:t>
      </w:r>
      <w:proofErr w:type="spellEnd"/>
      <w:r>
        <w:rPr>
          <w:rFonts w:ascii="Arial" w:hAnsi="Arial" w:cs="Arial"/>
          <w:i/>
          <w:iCs/>
          <w:sz w:val="22"/>
          <w:szCs w:val="22"/>
        </w:rPr>
        <w:t xml:space="preserve"> Crit Care</w:t>
      </w:r>
      <w:r>
        <w:rPr>
          <w:rFonts w:ascii="ArialMT" w:hAnsi="ArialMT"/>
          <w:sz w:val="22"/>
          <w:szCs w:val="22"/>
        </w:rPr>
        <w:t xml:space="preserve">. 2001;7(4):284-296. </w:t>
      </w:r>
    </w:p>
    <w:p w14:paraId="062E3480"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Pronovost PJ, Angus DC, Dorman T, Robinson KA, </w:t>
      </w:r>
      <w:proofErr w:type="spellStart"/>
      <w:r>
        <w:rPr>
          <w:rFonts w:ascii="ArialMT" w:hAnsi="ArialMT"/>
          <w:sz w:val="22"/>
          <w:szCs w:val="22"/>
        </w:rPr>
        <w:t>Dremsizov</w:t>
      </w:r>
      <w:proofErr w:type="spellEnd"/>
      <w:r>
        <w:rPr>
          <w:rFonts w:ascii="ArialMT" w:hAnsi="ArialMT"/>
          <w:sz w:val="22"/>
          <w:szCs w:val="22"/>
        </w:rPr>
        <w:t xml:space="preserve"> TT, Young TL. Physician Staffing Patterns and Clinical Outcomes in Critically Ill Patients: A Systematic Review. </w:t>
      </w:r>
      <w:r>
        <w:rPr>
          <w:rFonts w:ascii="Arial" w:hAnsi="Arial" w:cs="Arial"/>
          <w:i/>
          <w:iCs/>
          <w:sz w:val="22"/>
          <w:szCs w:val="22"/>
        </w:rPr>
        <w:t>JAMA</w:t>
      </w:r>
      <w:r>
        <w:rPr>
          <w:rFonts w:ascii="ArialMT" w:hAnsi="ArialMT"/>
          <w:sz w:val="22"/>
          <w:szCs w:val="22"/>
        </w:rPr>
        <w:t xml:space="preserve">. 2002;288(17):2151-2162. doi:10.1001/jama.288.17.2151 </w:t>
      </w:r>
    </w:p>
    <w:p w14:paraId="35A0D4AA"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Wilcox ME, Chong CAKY, Niven DJ, et al. Do Intensivist Staffing Patterns Influence Hospital Mortality Following ICU Admission? A Systematic Review and Meta-Analyses. </w:t>
      </w:r>
      <w:r>
        <w:rPr>
          <w:rFonts w:ascii="Arial" w:hAnsi="Arial" w:cs="Arial"/>
          <w:i/>
          <w:iCs/>
          <w:sz w:val="22"/>
          <w:szCs w:val="22"/>
        </w:rPr>
        <w:t>Crit Care Med</w:t>
      </w:r>
      <w:r>
        <w:rPr>
          <w:rFonts w:ascii="ArialMT" w:hAnsi="ArialMT"/>
          <w:sz w:val="22"/>
          <w:szCs w:val="22"/>
        </w:rPr>
        <w:t xml:space="preserve">. 2013;41(10):2253- 2274. doi:10.1097/CCM.0b013e318292313a </w:t>
      </w:r>
    </w:p>
    <w:p w14:paraId="760B4024"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Utecht J, Ball J, Bowman SM, et al. Development and validation of a controlled vocabulary: an OWL representation of organizational structures of trauma centers and trauma systems. </w:t>
      </w:r>
      <w:r>
        <w:rPr>
          <w:rFonts w:ascii="Arial" w:hAnsi="Arial" w:cs="Arial"/>
          <w:i/>
          <w:iCs/>
          <w:sz w:val="22"/>
          <w:szCs w:val="22"/>
        </w:rPr>
        <w:t>Stud Health Technol Inform</w:t>
      </w:r>
      <w:r>
        <w:rPr>
          <w:rFonts w:ascii="ArialMT" w:hAnsi="ArialMT"/>
          <w:sz w:val="22"/>
          <w:szCs w:val="22"/>
        </w:rPr>
        <w:t xml:space="preserve">. </w:t>
      </w:r>
      <w:proofErr w:type="gramStart"/>
      <w:r>
        <w:rPr>
          <w:rFonts w:ascii="ArialMT" w:hAnsi="ArialMT"/>
          <w:sz w:val="22"/>
          <w:szCs w:val="22"/>
        </w:rPr>
        <w:t>2019;264:403</w:t>
      </w:r>
      <w:proofErr w:type="gramEnd"/>
      <w:r>
        <w:rPr>
          <w:rFonts w:ascii="ArialMT" w:hAnsi="ArialMT"/>
          <w:sz w:val="22"/>
          <w:szCs w:val="22"/>
        </w:rPr>
        <w:t xml:space="preserve">-407. doi:10.3233/SHTI190252 </w:t>
      </w:r>
    </w:p>
    <w:p w14:paraId="28A8A2BC"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Brochhausen M, Ball JW, </w:t>
      </w:r>
      <w:proofErr w:type="spellStart"/>
      <w:r>
        <w:rPr>
          <w:rFonts w:ascii="ArialMT" w:hAnsi="ArialMT"/>
          <w:sz w:val="22"/>
          <w:szCs w:val="22"/>
        </w:rPr>
        <w:t>Sanddal</w:t>
      </w:r>
      <w:proofErr w:type="spellEnd"/>
      <w:r>
        <w:rPr>
          <w:rFonts w:ascii="ArialMT" w:hAnsi="ArialMT"/>
          <w:sz w:val="22"/>
          <w:szCs w:val="22"/>
        </w:rPr>
        <w:t xml:space="preserve"> ND, et al. Collecting data on organizational structures of trauma centers: the CAFE web service. </w:t>
      </w:r>
      <w:r>
        <w:rPr>
          <w:rFonts w:ascii="Arial" w:hAnsi="Arial" w:cs="Arial"/>
          <w:i/>
          <w:iCs/>
          <w:sz w:val="22"/>
          <w:szCs w:val="22"/>
        </w:rPr>
        <w:t>Trauma Surg Acute Care Open</w:t>
      </w:r>
      <w:r>
        <w:rPr>
          <w:rFonts w:ascii="ArialMT" w:hAnsi="ArialMT"/>
          <w:sz w:val="22"/>
          <w:szCs w:val="22"/>
        </w:rPr>
        <w:t>. 2020;5(1</w:t>
      </w:r>
      <w:proofErr w:type="gramStart"/>
      <w:r>
        <w:rPr>
          <w:rFonts w:ascii="ArialMT" w:hAnsi="ArialMT"/>
          <w:sz w:val="22"/>
          <w:szCs w:val="22"/>
        </w:rPr>
        <w:t>):e</w:t>
      </w:r>
      <w:proofErr w:type="gramEnd"/>
      <w:r>
        <w:rPr>
          <w:rFonts w:ascii="ArialMT" w:hAnsi="ArialMT"/>
          <w:sz w:val="22"/>
          <w:szCs w:val="22"/>
        </w:rPr>
        <w:t xml:space="preserve">000473. doi:10.1136/tsaco-2020-000473 </w:t>
      </w:r>
    </w:p>
    <w:p w14:paraId="6877D14C"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Hu H, Allen P, Yan Y, Reis RS, Jacob RR, Brownson RC. Organizational Supports for Research Evidence Use in State Public Health Agencies: A Latent Class Analysis. </w:t>
      </w:r>
      <w:r>
        <w:rPr>
          <w:rFonts w:ascii="Arial" w:hAnsi="Arial" w:cs="Arial"/>
          <w:i/>
          <w:iCs/>
          <w:sz w:val="22"/>
          <w:szCs w:val="22"/>
        </w:rPr>
        <w:t xml:space="preserve">J Public Health </w:t>
      </w:r>
      <w:proofErr w:type="spellStart"/>
      <w:r>
        <w:rPr>
          <w:rFonts w:ascii="Arial" w:hAnsi="Arial" w:cs="Arial"/>
          <w:i/>
          <w:iCs/>
          <w:sz w:val="22"/>
          <w:szCs w:val="22"/>
        </w:rPr>
        <w:t>Manag</w:t>
      </w:r>
      <w:proofErr w:type="spellEnd"/>
      <w:r>
        <w:rPr>
          <w:rFonts w:ascii="Arial" w:hAnsi="Arial" w:cs="Arial"/>
          <w:i/>
          <w:iCs/>
          <w:sz w:val="22"/>
          <w:szCs w:val="22"/>
        </w:rPr>
        <w:t xml:space="preserve"> </w:t>
      </w:r>
      <w:proofErr w:type="spellStart"/>
      <w:r>
        <w:rPr>
          <w:rFonts w:ascii="Arial" w:hAnsi="Arial" w:cs="Arial"/>
          <w:i/>
          <w:iCs/>
          <w:sz w:val="22"/>
          <w:szCs w:val="22"/>
        </w:rPr>
        <w:t>Pract</w:t>
      </w:r>
      <w:proofErr w:type="spellEnd"/>
      <w:r>
        <w:rPr>
          <w:rFonts w:ascii="Arial" w:hAnsi="Arial" w:cs="Arial"/>
          <w:i/>
          <w:iCs/>
          <w:sz w:val="22"/>
          <w:szCs w:val="22"/>
        </w:rPr>
        <w:t xml:space="preserve"> JPHMP</w:t>
      </w:r>
      <w:r>
        <w:rPr>
          <w:rFonts w:ascii="ArialMT" w:hAnsi="ArialMT"/>
          <w:sz w:val="22"/>
          <w:szCs w:val="22"/>
        </w:rPr>
        <w:t xml:space="preserve">. 2019;25(4):373-381. doi:10.1097/PHH.0000000000000821 </w:t>
      </w:r>
    </w:p>
    <w:p w14:paraId="57A549FE"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Hargreaves C, Tucker S, Hughes J, Hays R, Challis D. Specialist healthcare services for UK care home residents: a latent class analysis. </w:t>
      </w:r>
      <w:r>
        <w:rPr>
          <w:rFonts w:ascii="Arial" w:hAnsi="Arial" w:cs="Arial"/>
          <w:i/>
          <w:iCs/>
          <w:sz w:val="22"/>
          <w:szCs w:val="22"/>
        </w:rPr>
        <w:t>Prim Health Care Res Dev</w:t>
      </w:r>
      <w:r>
        <w:rPr>
          <w:rFonts w:ascii="ArialMT" w:hAnsi="ArialMT"/>
          <w:sz w:val="22"/>
          <w:szCs w:val="22"/>
        </w:rPr>
        <w:t>. 2019;</w:t>
      </w:r>
      <w:proofErr w:type="gramStart"/>
      <w:r>
        <w:rPr>
          <w:rFonts w:ascii="ArialMT" w:hAnsi="ArialMT"/>
          <w:sz w:val="22"/>
          <w:szCs w:val="22"/>
        </w:rPr>
        <w:t>20:e</w:t>
      </w:r>
      <w:proofErr w:type="gramEnd"/>
      <w:r>
        <w:rPr>
          <w:rFonts w:ascii="ArialMT" w:hAnsi="ArialMT"/>
          <w:sz w:val="22"/>
          <w:szCs w:val="22"/>
        </w:rPr>
        <w:t xml:space="preserve">132. doi:10.1017/S1463423619000586 </w:t>
      </w:r>
    </w:p>
    <w:p w14:paraId="7B147900"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Utecht J, Judkins J, </w:t>
      </w:r>
      <w:proofErr w:type="spellStart"/>
      <w:r>
        <w:rPr>
          <w:rFonts w:ascii="ArialMT" w:hAnsi="ArialMT"/>
          <w:sz w:val="22"/>
          <w:szCs w:val="22"/>
        </w:rPr>
        <w:t>Otte</w:t>
      </w:r>
      <w:proofErr w:type="spellEnd"/>
      <w:r>
        <w:rPr>
          <w:rFonts w:ascii="ArialMT" w:hAnsi="ArialMT"/>
          <w:sz w:val="22"/>
          <w:szCs w:val="22"/>
        </w:rPr>
        <w:t xml:space="preserve"> JN, et al. OOSTT: a Resource for Analyzing the Organizational Structures of Trauma Centers and Trauma Systems. </w:t>
      </w:r>
      <w:r>
        <w:rPr>
          <w:rFonts w:ascii="Arial" w:hAnsi="Arial" w:cs="Arial"/>
          <w:i/>
          <w:iCs/>
          <w:sz w:val="22"/>
          <w:szCs w:val="22"/>
        </w:rPr>
        <w:t>CEUR Workshop Proc</w:t>
      </w:r>
      <w:r>
        <w:rPr>
          <w:rFonts w:ascii="ArialMT" w:hAnsi="ArialMT"/>
          <w:sz w:val="22"/>
          <w:szCs w:val="22"/>
        </w:rPr>
        <w:t xml:space="preserve">. 2016;1747. </w:t>
      </w:r>
    </w:p>
    <w:p w14:paraId="5B72EC22"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Key Injury and Violence Data. Centers for Disease Control. Published May 8, 2017. Accessed February 4, 2020. https://www.cdc.gov/injury/wisqars/overview/key_data.html </w:t>
      </w:r>
    </w:p>
    <w:p w14:paraId="62D9CD5C" w14:textId="77777777" w:rsidR="00F511D7" w:rsidRDefault="00F511D7" w:rsidP="00F511D7">
      <w:pPr>
        <w:pStyle w:val="NormalWeb"/>
        <w:numPr>
          <w:ilvl w:val="0"/>
          <w:numId w:val="13"/>
        </w:numPr>
        <w:rPr>
          <w:rFonts w:ascii="ArialMT" w:hAnsi="ArialMT"/>
          <w:sz w:val="22"/>
          <w:szCs w:val="22"/>
        </w:rPr>
      </w:pPr>
      <w:r>
        <w:rPr>
          <w:rFonts w:ascii="ArialMT" w:hAnsi="ArialMT"/>
          <w:sz w:val="22"/>
          <w:szCs w:val="22"/>
        </w:rPr>
        <w:t xml:space="preserve">American College of Surgeons, Committee on Trauma. </w:t>
      </w:r>
      <w:r>
        <w:rPr>
          <w:rFonts w:ascii="Arial" w:hAnsi="Arial" w:cs="Arial"/>
          <w:i/>
          <w:iCs/>
          <w:sz w:val="22"/>
          <w:szCs w:val="22"/>
        </w:rPr>
        <w:t xml:space="preserve">Resources for Optimal Care of the Injured Patient. </w:t>
      </w:r>
      <w:r>
        <w:rPr>
          <w:rFonts w:ascii="ArialMT" w:hAnsi="ArialMT"/>
          <w:sz w:val="22"/>
          <w:szCs w:val="22"/>
        </w:rPr>
        <w:t xml:space="preserve">American College of Surgeons, Committee on Trauma; 2014. </w:t>
      </w:r>
    </w:p>
    <w:p w14:paraId="58A829AC" w14:textId="77777777" w:rsidR="00F511D7" w:rsidRDefault="00F511D7" w:rsidP="00F511D7">
      <w:pPr>
        <w:pStyle w:val="NormalWeb"/>
        <w:numPr>
          <w:ilvl w:val="0"/>
          <w:numId w:val="13"/>
        </w:numPr>
        <w:rPr>
          <w:rFonts w:ascii="ArialMT" w:hAnsi="ArialMT"/>
          <w:sz w:val="22"/>
          <w:szCs w:val="22"/>
        </w:rPr>
      </w:pPr>
      <w:r w:rsidRPr="007668B7">
        <w:rPr>
          <w:rFonts w:ascii="ArialMT" w:hAnsi="ArialMT"/>
          <w:sz w:val="22"/>
          <w:szCs w:val="22"/>
          <w:lang w:val="es-ES"/>
        </w:rPr>
        <w:t xml:space="preserve">MacKenzie EJ, Rivara FP, Jurkovich GJ, et al. </w:t>
      </w:r>
      <w:r>
        <w:rPr>
          <w:rFonts w:ascii="ArialMT" w:hAnsi="ArialMT"/>
          <w:sz w:val="22"/>
          <w:szCs w:val="22"/>
        </w:rPr>
        <w:t xml:space="preserve">A National Evaluation of the Effect of Trauma-Center Care on Mortality. </w:t>
      </w:r>
      <w:r>
        <w:rPr>
          <w:rFonts w:ascii="Arial" w:hAnsi="Arial" w:cs="Arial"/>
          <w:i/>
          <w:iCs/>
          <w:sz w:val="22"/>
          <w:szCs w:val="22"/>
        </w:rPr>
        <w:t xml:space="preserve">N </w:t>
      </w:r>
      <w:proofErr w:type="spellStart"/>
      <w:r>
        <w:rPr>
          <w:rFonts w:ascii="Arial" w:hAnsi="Arial" w:cs="Arial"/>
          <w:i/>
          <w:iCs/>
          <w:sz w:val="22"/>
          <w:szCs w:val="22"/>
        </w:rPr>
        <w:t>Engl</w:t>
      </w:r>
      <w:proofErr w:type="spellEnd"/>
      <w:r>
        <w:rPr>
          <w:rFonts w:ascii="Arial" w:hAnsi="Arial" w:cs="Arial"/>
          <w:i/>
          <w:iCs/>
          <w:sz w:val="22"/>
          <w:szCs w:val="22"/>
        </w:rPr>
        <w:t xml:space="preserve"> J Med Boston</w:t>
      </w:r>
      <w:r>
        <w:rPr>
          <w:rFonts w:ascii="ArialMT" w:hAnsi="ArialMT"/>
          <w:sz w:val="22"/>
          <w:szCs w:val="22"/>
        </w:rPr>
        <w:t xml:space="preserve">. 2006;354(4):366-378. </w:t>
      </w:r>
    </w:p>
    <w:p w14:paraId="465390DD" w14:textId="77777777" w:rsidR="00F511D7" w:rsidRDefault="00F511D7" w:rsidP="00F511D7">
      <w:pPr>
        <w:pStyle w:val="NormalWeb"/>
        <w:numPr>
          <w:ilvl w:val="0"/>
          <w:numId w:val="13"/>
        </w:numPr>
        <w:rPr>
          <w:rFonts w:ascii="ArialMT" w:hAnsi="ArialMT"/>
          <w:sz w:val="22"/>
          <w:szCs w:val="22"/>
        </w:rPr>
      </w:pPr>
      <w:proofErr w:type="spellStart"/>
      <w:r>
        <w:rPr>
          <w:rFonts w:ascii="ArialMT" w:hAnsi="ArialMT"/>
          <w:sz w:val="22"/>
          <w:szCs w:val="22"/>
        </w:rPr>
        <w:t>Cudnik</w:t>
      </w:r>
      <w:proofErr w:type="spellEnd"/>
      <w:r>
        <w:rPr>
          <w:rFonts w:ascii="ArialMT" w:hAnsi="ArialMT"/>
          <w:sz w:val="22"/>
          <w:szCs w:val="22"/>
        </w:rPr>
        <w:t xml:space="preserve"> MT, </w:t>
      </w:r>
      <w:proofErr w:type="spellStart"/>
      <w:r>
        <w:rPr>
          <w:rFonts w:ascii="ArialMT" w:hAnsi="ArialMT"/>
          <w:sz w:val="22"/>
          <w:szCs w:val="22"/>
        </w:rPr>
        <w:t>Newgard</w:t>
      </w:r>
      <w:proofErr w:type="spellEnd"/>
      <w:r>
        <w:rPr>
          <w:rFonts w:ascii="ArialMT" w:hAnsi="ArialMT"/>
          <w:sz w:val="22"/>
          <w:szCs w:val="22"/>
        </w:rPr>
        <w:t xml:space="preserve"> CD, Sayre MR, Steinberg SM. Level I Versus Level II Trauma Centers: An Outcomes- Based Assessment. </w:t>
      </w:r>
      <w:r>
        <w:rPr>
          <w:rFonts w:ascii="Arial" w:hAnsi="Arial" w:cs="Arial"/>
          <w:i/>
          <w:iCs/>
          <w:sz w:val="22"/>
          <w:szCs w:val="22"/>
        </w:rPr>
        <w:t>J Trauma Acute Care Surg</w:t>
      </w:r>
      <w:r>
        <w:rPr>
          <w:rFonts w:ascii="ArialMT" w:hAnsi="ArialMT"/>
          <w:sz w:val="22"/>
          <w:szCs w:val="22"/>
        </w:rPr>
        <w:t xml:space="preserve">. 2009;66(5):1321-1326. </w:t>
      </w:r>
      <w:proofErr w:type="gramStart"/>
      <w:r>
        <w:rPr>
          <w:rFonts w:ascii="ArialMT" w:hAnsi="ArialMT"/>
          <w:sz w:val="22"/>
          <w:szCs w:val="22"/>
        </w:rPr>
        <w:t>doi:10.1097/TA.0b013e3181929e2b</w:t>
      </w:r>
      <w:proofErr w:type="gramEnd"/>
      <w:r>
        <w:rPr>
          <w:rFonts w:ascii="ArialMT" w:hAnsi="ArialMT"/>
          <w:sz w:val="22"/>
          <w:szCs w:val="22"/>
        </w:rPr>
        <w:t xml:space="preserve"> </w:t>
      </w:r>
    </w:p>
    <w:p w14:paraId="0EE93EE9" w14:textId="77777777" w:rsidR="00F511D7" w:rsidRDefault="00F511D7" w:rsidP="00F511D7">
      <w:pPr>
        <w:pStyle w:val="NormalWeb"/>
        <w:numPr>
          <w:ilvl w:val="0"/>
          <w:numId w:val="13"/>
        </w:numPr>
        <w:rPr>
          <w:rFonts w:ascii="ArialMT" w:hAnsi="ArialMT"/>
          <w:sz w:val="22"/>
          <w:szCs w:val="22"/>
        </w:rPr>
      </w:pPr>
      <w:proofErr w:type="spellStart"/>
      <w:r>
        <w:rPr>
          <w:rFonts w:ascii="ArialMT" w:hAnsi="ArialMT"/>
          <w:sz w:val="22"/>
          <w:szCs w:val="22"/>
        </w:rPr>
        <w:lastRenderedPageBreak/>
        <w:t>Demetriades</w:t>
      </w:r>
      <w:proofErr w:type="spellEnd"/>
      <w:r>
        <w:rPr>
          <w:rFonts w:ascii="ArialMT" w:hAnsi="ArialMT"/>
          <w:sz w:val="22"/>
          <w:szCs w:val="22"/>
        </w:rPr>
        <w:t xml:space="preserve"> D, Martin M, Salim A, Rhee P, Brown C, Chan L. The Effect of Trauma Center Designation and Trauma Volume on Outcome in Specific Severe Injuries. </w:t>
      </w:r>
      <w:r>
        <w:rPr>
          <w:rFonts w:ascii="Arial" w:hAnsi="Arial" w:cs="Arial"/>
          <w:i/>
          <w:iCs/>
          <w:sz w:val="22"/>
          <w:szCs w:val="22"/>
        </w:rPr>
        <w:t>Ann Surg</w:t>
      </w:r>
      <w:r>
        <w:rPr>
          <w:rFonts w:ascii="ArialMT" w:hAnsi="ArialMT"/>
          <w:sz w:val="22"/>
          <w:szCs w:val="22"/>
        </w:rPr>
        <w:t xml:space="preserve">. 2005;242(4):512-519. </w:t>
      </w:r>
      <w:proofErr w:type="gramStart"/>
      <w:r>
        <w:rPr>
          <w:rFonts w:ascii="ArialMT" w:hAnsi="ArialMT"/>
          <w:sz w:val="22"/>
          <w:szCs w:val="22"/>
        </w:rPr>
        <w:t>doi:10.1097/01.sla</w:t>
      </w:r>
      <w:proofErr w:type="gramEnd"/>
      <w:r>
        <w:rPr>
          <w:rFonts w:ascii="ArialMT" w:hAnsi="ArialMT"/>
          <w:sz w:val="22"/>
          <w:szCs w:val="22"/>
        </w:rPr>
        <w:t xml:space="preserve">.0000184169.73614.09 </w:t>
      </w:r>
    </w:p>
    <w:p w14:paraId="251F3535" w14:textId="77777777" w:rsidR="00F511D7" w:rsidRDefault="00F511D7" w:rsidP="00F511D7">
      <w:pPr>
        <w:pStyle w:val="NormalWeb"/>
        <w:numPr>
          <w:ilvl w:val="0"/>
          <w:numId w:val="14"/>
        </w:numPr>
        <w:rPr>
          <w:rFonts w:ascii="ArialMT" w:hAnsi="ArialMT"/>
          <w:sz w:val="22"/>
          <w:szCs w:val="22"/>
        </w:rPr>
      </w:pPr>
      <w:r w:rsidRPr="007668B7">
        <w:rPr>
          <w:rFonts w:ascii="ArialMT" w:hAnsi="ArialMT"/>
          <w:sz w:val="22"/>
          <w:szCs w:val="22"/>
          <w:lang w:val="es-ES"/>
        </w:rPr>
        <w:t xml:space="preserve">Demetriades D, Martin M, Salim A, et al. </w:t>
      </w:r>
      <w:r>
        <w:rPr>
          <w:rFonts w:ascii="ArialMT" w:hAnsi="ArialMT"/>
          <w:sz w:val="22"/>
          <w:szCs w:val="22"/>
        </w:rPr>
        <w:t xml:space="preserve">Relationship Between American College of Surgeons Trauma Center Designation and Mortality in Patients with Severe Trauma (Injury Severity Score &gt; 15). </w:t>
      </w:r>
      <w:r>
        <w:rPr>
          <w:rFonts w:ascii="Arial" w:hAnsi="Arial" w:cs="Arial"/>
          <w:i/>
          <w:iCs/>
          <w:sz w:val="22"/>
          <w:szCs w:val="22"/>
        </w:rPr>
        <w:t>J Am Coll Surg</w:t>
      </w:r>
      <w:r>
        <w:rPr>
          <w:rFonts w:ascii="ArialMT" w:hAnsi="ArialMT"/>
          <w:sz w:val="22"/>
          <w:szCs w:val="22"/>
        </w:rPr>
        <w:t xml:space="preserve">. 2006;202(2):212-215. </w:t>
      </w:r>
      <w:proofErr w:type="gramStart"/>
      <w:r>
        <w:rPr>
          <w:rFonts w:ascii="ArialMT" w:hAnsi="ArialMT"/>
          <w:sz w:val="22"/>
          <w:szCs w:val="22"/>
        </w:rPr>
        <w:t>doi:10.1016/j.jamcollsurg</w:t>
      </w:r>
      <w:proofErr w:type="gramEnd"/>
      <w:r>
        <w:rPr>
          <w:rFonts w:ascii="ArialMT" w:hAnsi="ArialMT"/>
          <w:sz w:val="22"/>
          <w:szCs w:val="22"/>
        </w:rPr>
        <w:t xml:space="preserve">.2005.09.027 </w:t>
      </w:r>
    </w:p>
    <w:p w14:paraId="3948ED73" w14:textId="77777777" w:rsidR="00F511D7" w:rsidRDefault="00F511D7" w:rsidP="00F511D7">
      <w:pPr>
        <w:pStyle w:val="NormalWeb"/>
        <w:numPr>
          <w:ilvl w:val="0"/>
          <w:numId w:val="14"/>
        </w:numPr>
        <w:rPr>
          <w:rFonts w:ascii="ArialMT" w:hAnsi="ArialMT"/>
          <w:sz w:val="22"/>
          <w:szCs w:val="22"/>
        </w:rPr>
      </w:pPr>
      <w:r>
        <w:rPr>
          <w:rFonts w:ascii="ArialMT" w:hAnsi="ArialMT"/>
          <w:sz w:val="22"/>
          <w:szCs w:val="22"/>
        </w:rPr>
        <w:t xml:space="preserve">DuBose JJ, Browder T, Inaba K, Teixeira PGR, Chan LS, </w:t>
      </w:r>
      <w:proofErr w:type="spellStart"/>
      <w:r>
        <w:rPr>
          <w:rFonts w:ascii="ArialMT" w:hAnsi="ArialMT"/>
          <w:sz w:val="22"/>
          <w:szCs w:val="22"/>
        </w:rPr>
        <w:t>Demetriades</w:t>
      </w:r>
      <w:proofErr w:type="spellEnd"/>
      <w:r>
        <w:rPr>
          <w:rFonts w:ascii="ArialMT" w:hAnsi="ArialMT"/>
          <w:sz w:val="22"/>
          <w:szCs w:val="22"/>
        </w:rPr>
        <w:t xml:space="preserve"> D. Effect of Trauma Center Designation on Outcome in Patients </w:t>
      </w:r>
      <w:proofErr w:type="gramStart"/>
      <w:r>
        <w:rPr>
          <w:rFonts w:ascii="ArialMT" w:hAnsi="ArialMT"/>
          <w:sz w:val="22"/>
          <w:szCs w:val="22"/>
        </w:rPr>
        <w:t>With</w:t>
      </w:r>
      <w:proofErr w:type="gramEnd"/>
      <w:r>
        <w:rPr>
          <w:rFonts w:ascii="ArialMT" w:hAnsi="ArialMT"/>
          <w:sz w:val="22"/>
          <w:szCs w:val="22"/>
        </w:rPr>
        <w:t xml:space="preserve"> Severe Traumatic Brain Injury. </w:t>
      </w:r>
      <w:r>
        <w:rPr>
          <w:rFonts w:ascii="Arial" w:hAnsi="Arial" w:cs="Arial"/>
          <w:i/>
          <w:iCs/>
          <w:sz w:val="22"/>
          <w:szCs w:val="22"/>
        </w:rPr>
        <w:t>Arch Surg</w:t>
      </w:r>
      <w:r>
        <w:rPr>
          <w:rFonts w:ascii="ArialMT" w:hAnsi="ArialMT"/>
          <w:sz w:val="22"/>
          <w:szCs w:val="22"/>
        </w:rPr>
        <w:t xml:space="preserve">. 2008;143(12):1213- 1217. doi:10.1001/archsurg.143.12.1213 </w:t>
      </w:r>
    </w:p>
    <w:p w14:paraId="3DCA1B49" w14:textId="77777777" w:rsidR="00F511D7" w:rsidRDefault="00F511D7" w:rsidP="00F511D7">
      <w:pPr>
        <w:pStyle w:val="NormalWeb"/>
        <w:numPr>
          <w:ilvl w:val="0"/>
          <w:numId w:val="14"/>
        </w:numPr>
        <w:rPr>
          <w:rFonts w:ascii="ArialMT" w:hAnsi="ArialMT"/>
          <w:sz w:val="22"/>
          <w:szCs w:val="22"/>
        </w:rPr>
      </w:pPr>
      <w:proofErr w:type="spellStart"/>
      <w:r>
        <w:rPr>
          <w:rFonts w:ascii="ArialMT" w:hAnsi="ArialMT"/>
          <w:sz w:val="22"/>
          <w:szCs w:val="22"/>
        </w:rPr>
        <w:t>Nathens</w:t>
      </w:r>
      <w:proofErr w:type="spellEnd"/>
      <w:r>
        <w:rPr>
          <w:rFonts w:ascii="ArialMT" w:hAnsi="ArialMT"/>
          <w:sz w:val="22"/>
          <w:szCs w:val="22"/>
        </w:rPr>
        <w:t xml:space="preserve"> AB, </w:t>
      </w:r>
      <w:proofErr w:type="spellStart"/>
      <w:r>
        <w:rPr>
          <w:rFonts w:ascii="ArialMT" w:hAnsi="ArialMT"/>
          <w:sz w:val="22"/>
          <w:szCs w:val="22"/>
        </w:rPr>
        <w:t>Jurkovich</w:t>
      </w:r>
      <w:proofErr w:type="spellEnd"/>
      <w:r>
        <w:rPr>
          <w:rFonts w:ascii="ArialMT" w:hAnsi="ArialMT"/>
          <w:sz w:val="22"/>
          <w:szCs w:val="22"/>
        </w:rPr>
        <w:t xml:space="preserve"> GJ, Maier RV, et al. Relationship Between Trauma Center Volume and Outcomes. </w:t>
      </w:r>
      <w:r>
        <w:rPr>
          <w:rFonts w:ascii="Arial" w:hAnsi="Arial" w:cs="Arial"/>
          <w:i/>
          <w:iCs/>
          <w:sz w:val="22"/>
          <w:szCs w:val="22"/>
        </w:rPr>
        <w:t>JAMA</w:t>
      </w:r>
      <w:r>
        <w:rPr>
          <w:rFonts w:ascii="ArialMT" w:hAnsi="ArialMT"/>
          <w:sz w:val="22"/>
          <w:szCs w:val="22"/>
        </w:rPr>
        <w:t xml:space="preserve">. 2001;285(9):1164-1171. doi:10.1001/jama.285.9.1164 </w:t>
      </w:r>
    </w:p>
    <w:p w14:paraId="0D859671" w14:textId="77777777" w:rsidR="00F511D7" w:rsidRDefault="00F511D7" w:rsidP="00F511D7">
      <w:pPr>
        <w:pStyle w:val="NormalWeb"/>
        <w:numPr>
          <w:ilvl w:val="0"/>
          <w:numId w:val="14"/>
        </w:numPr>
        <w:rPr>
          <w:rFonts w:ascii="ArialMT" w:hAnsi="ArialMT"/>
          <w:sz w:val="22"/>
          <w:szCs w:val="22"/>
        </w:rPr>
      </w:pPr>
      <w:r>
        <w:rPr>
          <w:rFonts w:ascii="ArialMT" w:hAnsi="ArialMT"/>
          <w:sz w:val="22"/>
          <w:szCs w:val="22"/>
        </w:rPr>
        <w:t xml:space="preserve">Trauma Quality Improvement Program (TQIP). American College of Surgeons. Accessed February 25, 2020. https://www.facs.org/quality-programs/trauma/tqp/center-programs/tqip </w:t>
      </w:r>
    </w:p>
    <w:p w14:paraId="58E91523" w14:textId="77777777" w:rsidR="00F511D7" w:rsidRDefault="00F511D7" w:rsidP="00F511D7">
      <w:pPr>
        <w:pStyle w:val="NormalWeb"/>
        <w:numPr>
          <w:ilvl w:val="0"/>
          <w:numId w:val="14"/>
        </w:numPr>
        <w:rPr>
          <w:rFonts w:ascii="ArialMT" w:hAnsi="ArialMT"/>
          <w:sz w:val="22"/>
          <w:szCs w:val="22"/>
        </w:rPr>
      </w:pPr>
      <w:r>
        <w:rPr>
          <w:rFonts w:ascii="ArialMT" w:hAnsi="ArialMT"/>
          <w:sz w:val="22"/>
          <w:szCs w:val="22"/>
        </w:rPr>
        <w:t>Level I &amp; II TQIP Frequently Asked Questions. Accessed March 2, 2020. https://www.facs.org/quality- programs/trauma/</w:t>
      </w:r>
      <w:proofErr w:type="spellStart"/>
      <w:r>
        <w:rPr>
          <w:rFonts w:ascii="ArialMT" w:hAnsi="ArialMT"/>
          <w:sz w:val="22"/>
          <w:szCs w:val="22"/>
        </w:rPr>
        <w:t>tqp</w:t>
      </w:r>
      <w:proofErr w:type="spellEnd"/>
      <w:r>
        <w:rPr>
          <w:rFonts w:ascii="ArialMT" w:hAnsi="ArialMT"/>
          <w:sz w:val="22"/>
          <w:szCs w:val="22"/>
        </w:rPr>
        <w:t>/center-programs/</w:t>
      </w:r>
      <w:proofErr w:type="spellStart"/>
      <w:r>
        <w:rPr>
          <w:rFonts w:ascii="ArialMT" w:hAnsi="ArialMT"/>
          <w:sz w:val="22"/>
          <w:szCs w:val="22"/>
        </w:rPr>
        <w:t>tqip</w:t>
      </w:r>
      <w:proofErr w:type="spellEnd"/>
      <w:r>
        <w:rPr>
          <w:rFonts w:ascii="ArialMT" w:hAnsi="ArialMT"/>
          <w:sz w:val="22"/>
          <w:szCs w:val="22"/>
        </w:rPr>
        <w:t>/level-i-and-ii/</w:t>
      </w:r>
      <w:proofErr w:type="spellStart"/>
      <w:r>
        <w:rPr>
          <w:rFonts w:ascii="ArialMT" w:hAnsi="ArialMT"/>
          <w:sz w:val="22"/>
          <w:szCs w:val="22"/>
        </w:rPr>
        <w:t>faq</w:t>
      </w:r>
      <w:proofErr w:type="spellEnd"/>
      <w:r>
        <w:rPr>
          <w:rFonts w:ascii="ArialMT" w:hAnsi="ArialMT"/>
          <w:sz w:val="22"/>
          <w:szCs w:val="22"/>
        </w:rPr>
        <w:t xml:space="preserve"> </w:t>
      </w:r>
    </w:p>
    <w:p w14:paraId="00DCC060" w14:textId="77777777" w:rsidR="00F511D7" w:rsidRDefault="00F511D7" w:rsidP="00F511D7">
      <w:pPr>
        <w:pStyle w:val="NormalWeb"/>
        <w:numPr>
          <w:ilvl w:val="0"/>
          <w:numId w:val="14"/>
        </w:numPr>
        <w:rPr>
          <w:rFonts w:ascii="ArialMT" w:hAnsi="ArialMT"/>
          <w:sz w:val="22"/>
          <w:szCs w:val="22"/>
        </w:rPr>
      </w:pPr>
      <w:proofErr w:type="spellStart"/>
      <w:r>
        <w:rPr>
          <w:rFonts w:ascii="ArialMT" w:hAnsi="ArialMT"/>
          <w:sz w:val="22"/>
          <w:szCs w:val="22"/>
        </w:rPr>
        <w:t>Ziran</w:t>
      </w:r>
      <w:proofErr w:type="spellEnd"/>
      <w:r>
        <w:rPr>
          <w:rFonts w:ascii="ArialMT" w:hAnsi="ArialMT"/>
          <w:sz w:val="22"/>
          <w:szCs w:val="22"/>
        </w:rPr>
        <w:t xml:space="preserve"> BH, Barrette-</w:t>
      </w:r>
      <w:proofErr w:type="spellStart"/>
      <w:r>
        <w:rPr>
          <w:rFonts w:ascii="ArialMT" w:hAnsi="ArialMT"/>
          <w:sz w:val="22"/>
          <w:szCs w:val="22"/>
        </w:rPr>
        <w:t>Grischow</w:t>
      </w:r>
      <w:proofErr w:type="spellEnd"/>
      <w:r>
        <w:rPr>
          <w:rFonts w:ascii="ArialMT" w:hAnsi="ArialMT"/>
          <w:sz w:val="22"/>
          <w:szCs w:val="22"/>
        </w:rPr>
        <w:t xml:space="preserve"> MK, Hileman B. United States level I trauma centers are not created equal – a concern for patient safety? </w:t>
      </w:r>
      <w:r>
        <w:rPr>
          <w:rFonts w:ascii="Arial" w:hAnsi="Arial" w:cs="Arial"/>
          <w:i/>
          <w:iCs/>
          <w:sz w:val="22"/>
          <w:szCs w:val="22"/>
        </w:rPr>
        <w:t xml:space="preserve">Patient </w:t>
      </w:r>
      <w:proofErr w:type="spellStart"/>
      <w:r>
        <w:rPr>
          <w:rFonts w:ascii="Arial" w:hAnsi="Arial" w:cs="Arial"/>
          <w:i/>
          <w:iCs/>
          <w:sz w:val="22"/>
          <w:szCs w:val="22"/>
        </w:rPr>
        <w:t>Saf</w:t>
      </w:r>
      <w:proofErr w:type="spellEnd"/>
      <w:r>
        <w:rPr>
          <w:rFonts w:ascii="Arial" w:hAnsi="Arial" w:cs="Arial"/>
          <w:i/>
          <w:iCs/>
          <w:sz w:val="22"/>
          <w:szCs w:val="22"/>
        </w:rPr>
        <w:t xml:space="preserve"> Surg</w:t>
      </w:r>
      <w:r>
        <w:rPr>
          <w:rFonts w:ascii="ArialMT" w:hAnsi="ArialMT"/>
          <w:sz w:val="22"/>
          <w:szCs w:val="22"/>
        </w:rPr>
        <w:t xml:space="preserve">. </w:t>
      </w:r>
      <w:proofErr w:type="gramStart"/>
      <w:r>
        <w:rPr>
          <w:rFonts w:ascii="ArialMT" w:hAnsi="ArialMT"/>
          <w:sz w:val="22"/>
          <w:szCs w:val="22"/>
        </w:rPr>
        <w:t>2008;2:18</w:t>
      </w:r>
      <w:proofErr w:type="gramEnd"/>
      <w:r>
        <w:rPr>
          <w:rFonts w:ascii="ArialMT" w:hAnsi="ArialMT"/>
          <w:sz w:val="22"/>
          <w:szCs w:val="22"/>
        </w:rPr>
        <w:t xml:space="preserve">. doi:10.1186/1754-9493-2-18 </w:t>
      </w:r>
    </w:p>
    <w:p w14:paraId="2FCCE27E" w14:textId="77777777" w:rsidR="00F511D7" w:rsidRDefault="00F511D7" w:rsidP="00F511D7">
      <w:pPr>
        <w:pStyle w:val="NormalWeb"/>
        <w:numPr>
          <w:ilvl w:val="0"/>
          <w:numId w:val="14"/>
        </w:numPr>
        <w:rPr>
          <w:rFonts w:ascii="ArialMT" w:hAnsi="ArialMT"/>
          <w:sz w:val="22"/>
          <w:szCs w:val="22"/>
        </w:rPr>
      </w:pPr>
      <w:r w:rsidRPr="007668B7">
        <w:rPr>
          <w:rFonts w:ascii="ArialMT" w:hAnsi="ArialMT"/>
          <w:sz w:val="22"/>
          <w:szCs w:val="22"/>
          <w:lang w:val="es-ES"/>
        </w:rPr>
        <w:t xml:space="preserve">Mikolić A, van Klaveren D, Groeniger JO, et al. </w:t>
      </w:r>
      <w:r>
        <w:rPr>
          <w:rFonts w:ascii="ArialMT" w:hAnsi="ArialMT"/>
          <w:sz w:val="22"/>
          <w:szCs w:val="22"/>
        </w:rPr>
        <w:t xml:space="preserve">Differences between Men and Women in Treatment and Outcome after Traumatic Brain Injury. </w:t>
      </w:r>
      <w:r>
        <w:rPr>
          <w:rFonts w:ascii="Arial" w:hAnsi="Arial" w:cs="Arial"/>
          <w:i/>
          <w:iCs/>
          <w:sz w:val="22"/>
          <w:szCs w:val="22"/>
        </w:rPr>
        <w:t>J Neurotrauma</w:t>
      </w:r>
      <w:r>
        <w:rPr>
          <w:rFonts w:ascii="ArialMT" w:hAnsi="ArialMT"/>
          <w:sz w:val="22"/>
          <w:szCs w:val="22"/>
        </w:rPr>
        <w:t xml:space="preserve">. 2021;38(2):235-251. doi:10.1089/neu.2020.7228 </w:t>
      </w:r>
    </w:p>
    <w:p w14:paraId="6219B76A" w14:textId="77777777" w:rsidR="00F511D7" w:rsidRDefault="00F511D7" w:rsidP="00F511D7">
      <w:pPr>
        <w:pStyle w:val="NormalWeb"/>
        <w:numPr>
          <w:ilvl w:val="0"/>
          <w:numId w:val="14"/>
        </w:numPr>
        <w:rPr>
          <w:rFonts w:ascii="ArialMT" w:hAnsi="ArialMT"/>
          <w:sz w:val="22"/>
          <w:szCs w:val="22"/>
        </w:rPr>
      </w:pPr>
      <w:proofErr w:type="spellStart"/>
      <w:r>
        <w:rPr>
          <w:rFonts w:ascii="ArialMT" w:hAnsi="ArialMT"/>
          <w:sz w:val="22"/>
          <w:szCs w:val="22"/>
        </w:rPr>
        <w:t>Mollayeva</w:t>
      </w:r>
      <w:proofErr w:type="spellEnd"/>
      <w:r>
        <w:rPr>
          <w:rFonts w:ascii="ArialMT" w:hAnsi="ArialMT"/>
          <w:sz w:val="22"/>
          <w:szCs w:val="22"/>
        </w:rPr>
        <w:t xml:space="preserve"> T, </w:t>
      </w:r>
      <w:proofErr w:type="spellStart"/>
      <w:r>
        <w:rPr>
          <w:rFonts w:ascii="ArialMT" w:hAnsi="ArialMT"/>
          <w:sz w:val="22"/>
          <w:szCs w:val="22"/>
        </w:rPr>
        <w:t>Mollayeva</w:t>
      </w:r>
      <w:proofErr w:type="spellEnd"/>
      <w:r>
        <w:rPr>
          <w:rFonts w:ascii="ArialMT" w:hAnsi="ArialMT"/>
          <w:sz w:val="22"/>
          <w:szCs w:val="22"/>
        </w:rPr>
        <w:t xml:space="preserve"> S, </w:t>
      </w:r>
      <w:proofErr w:type="spellStart"/>
      <w:r>
        <w:rPr>
          <w:rFonts w:ascii="ArialMT" w:hAnsi="ArialMT"/>
          <w:sz w:val="22"/>
          <w:szCs w:val="22"/>
        </w:rPr>
        <w:t>Colantonio</w:t>
      </w:r>
      <w:proofErr w:type="spellEnd"/>
      <w:r>
        <w:rPr>
          <w:rFonts w:ascii="ArialMT" w:hAnsi="ArialMT"/>
          <w:sz w:val="22"/>
          <w:szCs w:val="22"/>
        </w:rPr>
        <w:t xml:space="preserve"> A. Traumatic brain injury: sex, </w:t>
      </w:r>
      <w:proofErr w:type="gramStart"/>
      <w:r>
        <w:rPr>
          <w:rFonts w:ascii="ArialMT" w:hAnsi="ArialMT"/>
          <w:sz w:val="22"/>
          <w:szCs w:val="22"/>
        </w:rPr>
        <w:t>gender</w:t>
      </w:r>
      <w:proofErr w:type="gramEnd"/>
      <w:r>
        <w:rPr>
          <w:rFonts w:ascii="ArialMT" w:hAnsi="ArialMT"/>
          <w:sz w:val="22"/>
          <w:szCs w:val="22"/>
        </w:rPr>
        <w:t xml:space="preserve"> and intersecting vulnerabilities. </w:t>
      </w:r>
      <w:r>
        <w:rPr>
          <w:rFonts w:ascii="Arial" w:hAnsi="Arial" w:cs="Arial"/>
          <w:i/>
          <w:iCs/>
          <w:sz w:val="22"/>
          <w:szCs w:val="22"/>
        </w:rPr>
        <w:t>Nat Rev Neurol</w:t>
      </w:r>
      <w:r>
        <w:rPr>
          <w:rFonts w:ascii="ArialMT" w:hAnsi="ArialMT"/>
          <w:sz w:val="22"/>
          <w:szCs w:val="22"/>
        </w:rPr>
        <w:t xml:space="preserve">. 2018;14(12):711-722. doi:10.1038/s41582-018-0091-y </w:t>
      </w:r>
    </w:p>
    <w:p w14:paraId="0F9E5955" w14:textId="77777777" w:rsidR="00F511D7" w:rsidRDefault="00F511D7" w:rsidP="00F511D7">
      <w:pPr>
        <w:pStyle w:val="NormalWeb"/>
        <w:numPr>
          <w:ilvl w:val="0"/>
          <w:numId w:val="14"/>
        </w:numPr>
        <w:rPr>
          <w:rFonts w:ascii="ArialMT" w:hAnsi="ArialMT"/>
          <w:sz w:val="22"/>
          <w:szCs w:val="22"/>
        </w:rPr>
      </w:pPr>
      <w:r>
        <w:rPr>
          <w:rFonts w:ascii="ArialMT" w:hAnsi="ArialMT"/>
          <w:sz w:val="22"/>
          <w:szCs w:val="22"/>
        </w:rPr>
        <w:t xml:space="preserve">Winchell RJ, Eastridge BJ, Moore MM, et al. Developing a national trauma system: proposed governance and essential elements. </w:t>
      </w:r>
      <w:r>
        <w:rPr>
          <w:rFonts w:ascii="Arial" w:hAnsi="Arial" w:cs="Arial"/>
          <w:i/>
          <w:iCs/>
          <w:sz w:val="22"/>
          <w:szCs w:val="22"/>
        </w:rPr>
        <w:t>J Trauma Acute Care Surg</w:t>
      </w:r>
      <w:r>
        <w:rPr>
          <w:rFonts w:ascii="ArialMT" w:hAnsi="ArialMT"/>
          <w:sz w:val="22"/>
          <w:szCs w:val="22"/>
        </w:rPr>
        <w:t xml:space="preserve">. 2018;85(3):637-641. doi:10.1097/TA.0000000000001994 </w:t>
      </w:r>
    </w:p>
    <w:p w14:paraId="48D5B864" w14:textId="77777777" w:rsidR="00F511D7" w:rsidRDefault="00F511D7" w:rsidP="00F511D7">
      <w:pPr>
        <w:pStyle w:val="NormalWeb"/>
        <w:numPr>
          <w:ilvl w:val="0"/>
          <w:numId w:val="14"/>
        </w:numPr>
        <w:rPr>
          <w:rFonts w:ascii="ArialMT" w:hAnsi="ArialMT"/>
          <w:sz w:val="22"/>
          <w:szCs w:val="22"/>
        </w:rPr>
      </w:pPr>
      <w:r>
        <w:rPr>
          <w:rFonts w:ascii="ArialMT" w:hAnsi="ArialMT"/>
          <w:sz w:val="22"/>
          <w:szCs w:val="22"/>
        </w:rPr>
        <w:t xml:space="preserve">Moore L, Evans D, Hameed SM, et al. Mortality in Canadian trauma systems: a multicenter cohort study. </w:t>
      </w:r>
      <w:r>
        <w:rPr>
          <w:rFonts w:ascii="Arial" w:hAnsi="Arial" w:cs="Arial"/>
          <w:i/>
          <w:iCs/>
          <w:sz w:val="22"/>
          <w:szCs w:val="22"/>
        </w:rPr>
        <w:t>Ann Surg</w:t>
      </w:r>
      <w:r>
        <w:rPr>
          <w:rFonts w:ascii="ArialMT" w:hAnsi="ArialMT"/>
          <w:sz w:val="22"/>
          <w:szCs w:val="22"/>
        </w:rPr>
        <w:t xml:space="preserve">. 2017;265(1):212-217. doi:10.1097/SLA.0000000000001614 </w:t>
      </w:r>
    </w:p>
    <w:p w14:paraId="1A41BC1D" w14:textId="3C2FCA2B" w:rsidR="00457286" w:rsidRPr="00DD5EB5" w:rsidRDefault="00AB52CF" w:rsidP="00D059E6">
      <w:pPr>
        <w:pStyle w:val="Default"/>
        <w:spacing w:before="120" w:after="120"/>
        <w:rPr>
          <w:rFonts w:ascii="Arial" w:hAnsi="Arial" w:cs="Arial"/>
          <w:b/>
          <w:i/>
          <w:color w:val="auto"/>
          <w:sz w:val="20"/>
          <w:szCs w:val="20"/>
        </w:rPr>
      </w:pPr>
      <w:r>
        <w:rPr>
          <w:rFonts w:ascii="Arial" w:hAnsi="Arial" w:cs="Arial"/>
          <w:i/>
          <w:color w:val="auto"/>
        </w:rPr>
        <w:t xml:space="preserve"> </w:t>
      </w:r>
    </w:p>
    <w:sectPr w:rsidR="00457286" w:rsidRPr="00DD5EB5" w:rsidSect="00640822">
      <w:headerReference w:type="default" r:id="rId8"/>
      <w:footerReference w:type="default" r:id="rId9"/>
      <w:footerReference w:type="first" r:id="rId1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61ED" w14:textId="77777777" w:rsidR="00577CA0" w:rsidRDefault="00577CA0" w:rsidP="0056083E">
      <w:r>
        <w:separator/>
      </w:r>
    </w:p>
  </w:endnote>
  <w:endnote w:type="continuationSeparator" w:id="0">
    <w:p w14:paraId="659CAC5F" w14:textId="77777777" w:rsidR="00577CA0" w:rsidRDefault="00577CA0" w:rsidP="0056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venir">
    <w:charset w:val="4D"/>
    <w:family w:val="swiss"/>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Helvetica Neue">
    <w:altName w:val="Arial"/>
    <w:charset w:val="00"/>
    <w:family w:val="auto"/>
    <w:pitch w:val="variable"/>
    <w:sig w:usb0="E50002FF" w:usb1="500079DB" w:usb2="00000010" w:usb3="00000000" w:csb0="00000001"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7EEA" w14:textId="17F07B65" w:rsidR="007C7397" w:rsidRPr="0056564A" w:rsidRDefault="007C7397" w:rsidP="00C55128">
    <w:pPr>
      <w:pStyle w:val="Peu"/>
      <w:pBdr>
        <w:top w:val="thinThickSmallGap" w:sz="24" w:space="1" w:color="622423" w:themeColor="accent2" w:themeShade="7F"/>
      </w:pBdr>
      <w:ind w:left="0"/>
      <w:rPr>
        <w:color w:val="auto"/>
        <w:sz w:val="20"/>
        <w:szCs w:val="20"/>
      </w:rPr>
    </w:pPr>
    <w:r w:rsidRPr="0056564A">
      <w:rPr>
        <w:color w:val="auto"/>
        <w:sz w:val="20"/>
        <w:szCs w:val="20"/>
      </w:rPr>
      <w:t xml:space="preserve">Version #:  </w:t>
    </w:r>
    <w:r w:rsidR="008C2D30" w:rsidRPr="008C2D30">
      <w:rPr>
        <w:color w:val="auto"/>
        <w:sz w:val="20"/>
        <w:szCs w:val="20"/>
      </w:rPr>
      <w:t>1</w:t>
    </w:r>
  </w:p>
  <w:p w14:paraId="7B8FDB54" w14:textId="0449CBD0" w:rsidR="007C7397" w:rsidRPr="0056564A" w:rsidRDefault="007C7397" w:rsidP="00C55128">
    <w:pPr>
      <w:pStyle w:val="Peu"/>
      <w:pBdr>
        <w:top w:val="thinThickSmallGap" w:sz="24" w:space="1" w:color="622423" w:themeColor="accent2" w:themeShade="7F"/>
      </w:pBdr>
      <w:ind w:left="0"/>
      <w:rPr>
        <w:color w:val="auto"/>
        <w:sz w:val="20"/>
        <w:szCs w:val="20"/>
      </w:rPr>
    </w:pPr>
    <w:r w:rsidRPr="0056564A">
      <w:rPr>
        <w:color w:val="auto"/>
        <w:sz w:val="20"/>
        <w:szCs w:val="20"/>
      </w:rPr>
      <w:t xml:space="preserve">Date:  </w:t>
    </w:r>
    <w:r w:rsidR="002E28C5">
      <w:rPr>
        <w:iCs/>
        <w:color w:val="auto"/>
        <w:sz w:val="20"/>
        <w:szCs w:val="20"/>
      </w:rPr>
      <w:t>3.3.2023</w:t>
    </w:r>
    <w:r w:rsidRPr="0056564A">
      <w:rPr>
        <w:color w:val="auto"/>
        <w:sz w:val="20"/>
        <w:szCs w:val="20"/>
      </w:rPr>
      <w:t xml:space="preserve"> </w:t>
    </w:r>
    <w:r w:rsidRPr="0056564A">
      <w:rPr>
        <w:color w:val="auto"/>
        <w:sz w:val="20"/>
        <w:szCs w:val="20"/>
      </w:rPr>
      <w:ptab w:relativeTo="margin" w:alignment="right" w:leader="none"/>
    </w:r>
    <w:r w:rsidRPr="0056564A">
      <w:rPr>
        <w:color w:val="auto"/>
        <w:sz w:val="20"/>
        <w:szCs w:val="20"/>
      </w:rPr>
      <w:t xml:space="preserve">Page </w:t>
    </w:r>
    <w:r w:rsidR="00F32E4D" w:rsidRPr="0056564A">
      <w:rPr>
        <w:color w:val="auto"/>
        <w:sz w:val="20"/>
        <w:szCs w:val="20"/>
      </w:rPr>
      <w:fldChar w:fldCharType="begin"/>
    </w:r>
    <w:r w:rsidRPr="0056564A">
      <w:rPr>
        <w:color w:val="auto"/>
        <w:sz w:val="20"/>
        <w:szCs w:val="20"/>
      </w:rPr>
      <w:instrText xml:space="preserve"> PAGE   \* MERGEFORMAT </w:instrText>
    </w:r>
    <w:r w:rsidR="00F32E4D" w:rsidRPr="0056564A">
      <w:rPr>
        <w:color w:val="auto"/>
        <w:sz w:val="20"/>
        <w:szCs w:val="20"/>
      </w:rPr>
      <w:fldChar w:fldCharType="separate"/>
    </w:r>
    <w:r w:rsidR="00995905">
      <w:rPr>
        <w:noProof/>
        <w:color w:val="auto"/>
        <w:sz w:val="20"/>
        <w:szCs w:val="20"/>
      </w:rPr>
      <w:t>1</w:t>
    </w:r>
    <w:r w:rsidR="00F32E4D" w:rsidRPr="0056564A">
      <w:rPr>
        <w:color w:val="auto"/>
        <w:sz w:val="20"/>
        <w:szCs w:val="20"/>
      </w:rPr>
      <w:fldChar w:fldCharType="end"/>
    </w:r>
  </w:p>
  <w:p w14:paraId="58DE1D53" w14:textId="1D7F7674" w:rsidR="007C7397" w:rsidRPr="00640822" w:rsidRDefault="007C7397" w:rsidP="00C55128">
    <w:pPr>
      <w:pStyle w:val="Peu"/>
      <w:ind w:left="0"/>
      <w:rPr>
        <w:b/>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8E76" w14:textId="651711DD" w:rsidR="00B01F07" w:rsidRDefault="00B018D6">
    <w:pPr>
      <w:pStyle w:val="Peu"/>
      <w:pBdr>
        <w:top w:val="thinThickSmallGap" w:sz="24" w:space="1" w:color="622423" w:themeColor="accent2" w:themeShade="7F"/>
      </w:pBdr>
      <w:rPr>
        <w:rFonts w:eastAsiaTheme="majorEastAsia"/>
        <w:i/>
        <w:sz w:val="20"/>
        <w:szCs w:val="20"/>
        <w:highlight w:val="yellow"/>
      </w:rPr>
    </w:pPr>
    <w:r w:rsidRPr="00B018D6">
      <w:rPr>
        <w:rFonts w:eastAsiaTheme="majorEastAsia"/>
        <w:sz w:val="20"/>
        <w:szCs w:val="20"/>
      </w:rPr>
      <w:t>Version #:</w:t>
    </w:r>
    <w:r w:rsidRPr="00B018D6">
      <w:rPr>
        <w:rFonts w:asciiTheme="majorHAnsi" w:eastAsiaTheme="majorEastAsia" w:hAnsiTheme="majorHAnsi" w:cstheme="majorBidi"/>
      </w:rPr>
      <w:t xml:space="preserve">  </w:t>
    </w:r>
    <w:r w:rsidRPr="00B018D6">
      <w:rPr>
        <w:rFonts w:eastAsiaTheme="majorEastAsia"/>
        <w:i/>
        <w:sz w:val="20"/>
        <w:szCs w:val="20"/>
        <w:highlight w:val="yellow"/>
      </w:rPr>
      <w:t xml:space="preserve">insert version </w:t>
    </w:r>
    <w:r w:rsidR="00D1395F" w:rsidRPr="00B018D6">
      <w:rPr>
        <w:rFonts w:eastAsiaTheme="majorEastAsia"/>
        <w:i/>
        <w:sz w:val="20"/>
        <w:szCs w:val="20"/>
        <w:highlight w:val="yellow"/>
      </w:rPr>
      <w:t>n</w:t>
    </w:r>
    <w:r w:rsidR="00D1395F">
      <w:rPr>
        <w:rFonts w:eastAsiaTheme="majorEastAsia"/>
        <w:i/>
        <w:sz w:val="20"/>
        <w:szCs w:val="20"/>
        <w:highlight w:val="yellow"/>
      </w:rPr>
      <w:t>umber.</w:t>
    </w:r>
    <w:r w:rsidR="00167306">
      <w:rPr>
        <w:rFonts w:eastAsiaTheme="majorEastAsia"/>
        <w:i/>
        <w:sz w:val="20"/>
        <w:szCs w:val="20"/>
        <w:highlight w:val="yellow"/>
      </w:rPr>
      <w:t xml:space="preserve"> </w:t>
    </w:r>
  </w:p>
  <w:p w14:paraId="7ECC38CA" w14:textId="21E8B3E2" w:rsidR="00B018D6" w:rsidRDefault="00B018D6">
    <w:pPr>
      <w:pStyle w:val="Peu"/>
      <w:pBdr>
        <w:top w:val="thinThickSmallGap" w:sz="24" w:space="1" w:color="622423" w:themeColor="accent2" w:themeShade="7F"/>
      </w:pBdr>
      <w:rPr>
        <w:rFonts w:asciiTheme="majorHAnsi" w:eastAsiaTheme="majorEastAsia" w:hAnsiTheme="majorHAnsi" w:cstheme="majorBidi"/>
      </w:rPr>
    </w:pPr>
    <w:r w:rsidRPr="00B018D6">
      <w:rPr>
        <w:rFonts w:eastAsiaTheme="majorEastAsia"/>
        <w:sz w:val="20"/>
        <w:szCs w:val="20"/>
      </w:rPr>
      <w:t>Date:</w:t>
    </w:r>
    <w:r w:rsidRPr="00B018D6">
      <w:rPr>
        <w:rFonts w:asciiTheme="majorHAnsi" w:eastAsiaTheme="majorEastAsia" w:hAnsiTheme="majorHAnsi" w:cstheme="majorBidi"/>
      </w:rPr>
      <w:t xml:space="preserve">  </w:t>
    </w:r>
    <w:r w:rsidRPr="00B018D6">
      <w:rPr>
        <w:rFonts w:eastAsiaTheme="majorEastAsia"/>
        <w:i/>
        <w:sz w:val="20"/>
        <w:szCs w:val="20"/>
        <w:highlight w:val="yellow"/>
      </w:rPr>
      <w:t>insert version date</w:t>
    </w:r>
    <w:r w:rsidRPr="00B018D6">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40822" w:rsidRPr="0064082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BAB9231" w14:textId="77777777" w:rsidR="00B018D6" w:rsidRDefault="00B018D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74B3" w14:textId="77777777" w:rsidR="00577CA0" w:rsidRDefault="00577CA0" w:rsidP="0056083E">
      <w:r>
        <w:separator/>
      </w:r>
    </w:p>
  </w:footnote>
  <w:footnote w:type="continuationSeparator" w:id="0">
    <w:p w14:paraId="04573977" w14:textId="77777777" w:rsidR="00577CA0" w:rsidRDefault="00577CA0" w:rsidP="0056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80C7" w14:textId="07C06626" w:rsidR="007C7397" w:rsidRPr="00576174" w:rsidRDefault="007C7397" w:rsidP="00970A11">
    <w:pPr>
      <w:pStyle w:val="Default"/>
      <w:spacing w:before="60" w:after="60"/>
      <w:ind w:left="540" w:hanging="540"/>
      <w:rPr>
        <w:rFonts w:ascii="Arial" w:hAnsi="Arial" w:cs="Arial"/>
        <w:iCs/>
        <w:sz w:val="20"/>
        <w:szCs w:val="20"/>
      </w:rPr>
    </w:pPr>
    <w:r w:rsidRPr="00BA3D07">
      <w:rPr>
        <w:rFonts w:ascii="Arial" w:hAnsi="Arial" w:cs="Arial"/>
        <w:sz w:val="20"/>
        <w:szCs w:val="20"/>
      </w:rPr>
      <w:t>Title:</w:t>
    </w:r>
    <w:r>
      <w:rPr>
        <w:rFonts w:ascii="Arial" w:hAnsi="Arial" w:cs="Arial"/>
        <w:sz w:val="20"/>
        <w:szCs w:val="20"/>
      </w:rPr>
      <w:t xml:space="preserve">  </w:t>
    </w:r>
    <w:r w:rsidR="002E28C5" w:rsidRPr="006A599B">
      <w:rPr>
        <w:rFonts w:ascii="Helvetica" w:hAnsi="Helvetica" w:cs="Helvetica Neue"/>
      </w:rPr>
      <w:t>Trauma Institutional Priorities and Teams for Outcome Efficacy (TIPTOE)</w:t>
    </w:r>
  </w:p>
  <w:p w14:paraId="2D6F22C4" w14:textId="6EF3CD48" w:rsidR="007C7397" w:rsidRPr="00576174" w:rsidRDefault="007C7397" w:rsidP="00970A11">
    <w:pPr>
      <w:pStyle w:val="Default"/>
      <w:spacing w:before="60" w:after="60"/>
      <w:rPr>
        <w:rFonts w:ascii="Arial" w:hAnsi="Arial" w:cs="Arial"/>
        <w:iCs/>
        <w:sz w:val="20"/>
        <w:szCs w:val="20"/>
      </w:rPr>
    </w:pPr>
    <w:r w:rsidRPr="00BA3D07">
      <w:rPr>
        <w:rFonts w:ascii="Arial" w:hAnsi="Arial" w:cs="Arial"/>
        <w:sz w:val="20"/>
        <w:szCs w:val="20"/>
      </w:rPr>
      <w:t>PI:</w:t>
    </w:r>
    <w:r>
      <w:rPr>
        <w:rFonts w:ascii="Arial" w:hAnsi="Arial" w:cs="Arial"/>
        <w:sz w:val="20"/>
        <w:szCs w:val="20"/>
      </w:rPr>
      <w:t xml:space="preserve">  </w:t>
    </w:r>
    <w:r w:rsidR="00576174">
      <w:rPr>
        <w:rFonts w:ascii="Arial" w:hAnsi="Arial" w:cs="Arial"/>
        <w:iCs/>
        <w:sz w:val="20"/>
        <w:szCs w:val="20"/>
      </w:rPr>
      <w:t>Dr</w:t>
    </w:r>
    <w:r w:rsidR="002E28C5">
      <w:rPr>
        <w:rFonts w:ascii="Arial" w:hAnsi="Arial" w:cs="Arial"/>
        <w:iCs/>
        <w:sz w:val="20"/>
        <w:szCs w:val="20"/>
      </w:rPr>
      <w:t>s</w:t>
    </w:r>
    <w:r w:rsidR="00576174">
      <w:rPr>
        <w:rFonts w:ascii="Arial" w:hAnsi="Arial" w:cs="Arial"/>
        <w:iCs/>
        <w:sz w:val="20"/>
        <w:szCs w:val="20"/>
      </w:rPr>
      <w:t>. Kevin Sexton</w:t>
    </w:r>
    <w:r w:rsidR="002E28C5">
      <w:rPr>
        <w:rFonts w:ascii="Arial" w:hAnsi="Arial" w:cs="Arial"/>
        <w:iCs/>
        <w:sz w:val="20"/>
        <w:szCs w:val="20"/>
      </w:rPr>
      <w:t>, Mathias Brochhausen</w:t>
    </w:r>
  </w:p>
  <w:p w14:paraId="1B959631" w14:textId="77777777" w:rsidR="007C7397" w:rsidRDefault="007C7397" w:rsidP="00C55128">
    <w:pPr>
      <w:pStyle w:val="Defaul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694"/>
    <w:multiLevelType w:val="hybridMultilevel"/>
    <w:tmpl w:val="BB8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C522D"/>
    <w:multiLevelType w:val="hybridMultilevel"/>
    <w:tmpl w:val="7C66C3CC"/>
    <w:lvl w:ilvl="0" w:tplc="49CA35B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55CB6"/>
    <w:multiLevelType w:val="multilevel"/>
    <w:tmpl w:val="0674F3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3667F"/>
    <w:multiLevelType w:val="multilevel"/>
    <w:tmpl w:val="B52032E4"/>
    <w:lvl w:ilvl="0">
      <w:start w:val="1"/>
      <w:numFmt w:val="bullet"/>
      <w:lvlText w:val="●"/>
      <w:lvlJc w:val="left"/>
      <w:pPr>
        <w:ind w:left="567" w:hanging="56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6C46AE5"/>
    <w:multiLevelType w:val="multilevel"/>
    <w:tmpl w:val="54B6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160C3"/>
    <w:multiLevelType w:val="hybridMultilevel"/>
    <w:tmpl w:val="212A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35396"/>
    <w:multiLevelType w:val="hybridMultilevel"/>
    <w:tmpl w:val="6C601A64"/>
    <w:lvl w:ilvl="0" w:tplc="B32A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50FAA"/>
    <w:multiLevelType w:val="hybridMultilevel"/>
    <w:tmpl w:val="42E82504"/>
    <w:lvl w:ilvl="0" w:tplc="5BDEC750">
      <w:start w:val="1"/>
      <w:numFmt w:val="upperRoman"/>
      <w:pStyle w:val="Style1"/>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97FA6"/>
    <w:multiLevelType w:val="hybridMultilevel"/>
    <w:tmpl w:val="6A302448"/>
    <w:lvl w:ilvl="0" w:tplc="49CA35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5441D"/>
    <w:multiLevelType w:val="multilevel"/>
    <w:tmpl w:val="A7563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3EB284D"/>
    <w:multiLevelType w:val="hybridMultilevel"/>
    <w:tmpl w:val="7718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4079C"/>
    <w:multiLevelType w:val="multilevel"/>
    <w:tmpl w:val="2EFCDADA"/>
    <w:lvl w:ilvl="0">
      <w:start w:val="1"/>
      <w:numFmt w:val="bullet"/>
      <w:lvlText w:val="●"/>
      <w:lvlJc w:val="left"/>
      <w:pPr>
        <w:ind w:left="567" w:hanging="56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55C3CCC"/>
    <w:multiLevelType w:val="multilevel"/>
    <w:tmpl w:val="26B07486"/>
    <w:lvl w:ilvl="0">
      <w:start w:val="1"/>
      <w:numFmt w:val="bullet"/>
      <w:lvlText w:val="●"/>
      <w:lvlJc w:val="left"/>
      <w:pPr>
        <w:ind w:left="1134" w:hanging="567"/>
      </w:pPr>
      <w:rPr>
        <w:rFonts w:ascii="Noto Sans Symbols" w:eastAsia="Noto Sans Symbols" w:hAnsi="Noto Sans Symbols" w:cs="Noto Sans Symbols"/>
        <w:sz w:val="20"/>
        <w:szCs w:val="20"/>
      </w:rPr>
    </w:lvl>
    <w:lvl w:ilvl="1">
      <w:start w:val="1"/>
      <w:numFmt w:val="bullet"/>
      <w:lvlText w:val="o"/>
      <w:lvlJc w:val="left"/>
      <w:pPr>
        <w:ind w:left="2007" w:hanging="360"/>
      </w:pPr>
      <w:rPr>
        <w:rFonts w:ascii="Courier New" w:eastAsia="Courier New" w:hAnsi="Courier New" w:cs="Courier New"/>
        <w:sz w:val="20"/>
        <w:szCs w:val="20"/>
      </w:rPr>
    </w:lvl>
    <w:lvl w:ilvl="2">
      <w:start w:val="1"/>
      <w:numFmt w:val="bullet"/>
      <w:lvlText w:val="▪"/>
      <w:lvlJc w:val="left"/>
      <w:pPr>
        <w:ind w:left="2727" w:hanging="360"/>
      </w:pPr>
      <w:rPr>
        <w:rFonts w:ascii="Noto Sans Symbols" w:eastAsia="Noto Sans Symbols" w:hAnsi="Noto Sans Symbols" w:cs="Noto Sans Symbols"/>
        <w:sz w:val="20"/>
        <w:szCs w:val="20"/>
      </w:rPr>
    </w:lvl>
    <w:lvl w:ilvl="3">
      <w:start w:val="1"/>
      <w:numFmt w:val="bullet"/>
      <w:lvlText w:val="▪"/>
      <w:lvlJc w:val="left"/>
      <w:pPr>
        <w:ind w:left="3447" w:hanging="360"/>
      </w:pPr>
      <w:rPr>
        <w:rFonts w:ascii="Noto Sans Symbols" w:eastAsia="Noto Sans Symbols" w:hAnsi="Noto Sans Symbols" w:cs="Noto Sans Symbols"/>
        <w:sz w:val="20"/>
        <w:szCs w:val="20"/>
      </w:rPr>
    </w:lvl>
    <w:lvl w:ilvl="4">
      <w:start w:val="1"/>
      <w:numFmt w:val="bullet"/>
      <w:lvlText w:val="▪"/>
      <w:lvlJc w:val="left"/>
      <w:pPr>
        <w:ind w:left="4167" w:hanging="360"/>
      </w:pPr>
      <w:rPr>
        <w:rFonts w:ascii="Noto Sans Symbols" w:eastAsia="Noto Sans Symbols" w:hAnsi="Noto Sans Symbols" w:cs="Noto Sans Symbols"/>
        <w:sz w:val="20"/>
        <w:szCs w:val="20"/>
      </w:rPr>
    </w:lvl>
    <w:lvl w:ilvl="5">
      <w:start w:val="1"/>
      <w:numFmt w:val="bullet"/>
      <w:lvlText w:val="▪"/>
      <w:lvlJc w:val="left"/>
      <w:pPr>
        <w:ind w:left="4887" w:hanging="360"/>
      </w:pPr>
      <w:rPr>
        <w:rFonts w:ascii="Noto Sans Symbols" w:eastAsia="Noto Sans Symbols" w:hAnsi="Noto Sans Symbols" w:cs="Noto Sans Symbols"/>
        <w:sz w:val="20"/>
        <w:szCs w:val="20"/>
      </w:rPr>
    </w:lvl>
    <w:lvl w:ilvl="6">
      <w:start w:val="1"/>
      <w:numFmt w:val="bullet"/>
      <w:lvlText w:val="▪"/>
      <w:lvlJc w:val="left"/>
      <w:pPr>
        <w:ind w:left="5607" w:hanging="360"/>
      </w:pPr>
      <w:rPr>
        <w:rFonts w:ascii="Noto Sans Symbols" w:eastAsia="Noto Sans Symbols" w:hAnsi="Noto Sans Symbols" w:cs="Noto Sans Symbols"/>
        <w:sz w:val="20"/>
        <w:szCs w:val="20"/>
      </w:rPr>
    </w:lvl>
    <w:lvl w:ilvl="7">
      <w:start w:val="1"/>
      <w:numFmt w:val="bullet"/>
      <w:lvlText w:val="▪"/>
      <w:lvlJc w:val="left"/>
      <w:pPr>
        <w:ind w:left="6327" w:hanging="360"/>
      </w:pPr>
      <w:rPr>
        <w:rFonts w:ascii="Noto Sans Symbols" w:eastAsia="Noto Sans Symbols" w:hAnsi="Noto Sans Symbols" w:cs="Noto Sans Symbols"/>
        <w:sz w:val="20"/>
        <w:szCs w:val="20"/>
      </w:rPr>
    </w:lvl>
    <w:lvl w:ilvl="8">
      <w:start w:val="1"/>
      <w:numFmt w:val="bullet"/>
      <w:lvlText w:val="▪"/>
      <w:lvlJc w:val="left"/>
      <w:pPr>
        <w:ind w:left="7047" w:hanging="360"/>
      </w:pPr>
      <w:rPr>
        <w:rFonts w:ascii="Noto Sans Symbols" w:eastAsia="Noto Sans Symbols" w:hAnsi="Noto Sans Symbols" w:cs="Noto Sans Symbols"/>
        <w:sz w:val="20"/>
        <w:szCs w:val="20"/>
      </w:rPr>
    </w:lvl>
  </w:abstractNum>
  <w:abstractNum w:abstractNumId="13" w15:restartNumberingAfterBreak="0">
    <w:nsid w:val="6CE97A74"/>
    <w:multiLevelType w:val="multilevel"/>
    <w:tmpl w:val="0D6C33AA"/>
    <w:lvl w:ilvl="0">
      <w:start w:val="1"/>
      <w:numFmt w:val="bullet"/>
      <w:lvlText w:val="●"/>
      <w:lvlJc w:val="left"/>
      <w:pPr>
        <w:ind w:left="567" w:hanging="567"/>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72473907">
    <w:abstractNumId w:val="7"/>
  </w:num>
  <w:num w:numId="2" w16cid:durableId="568659098">
    <w:abstractNumId w:val="8"/>
  </w:num>
  <w:num w:numId="3" w16cid:durableId="973559647">
    <w:abstractNumId w:val="1"/>
  </w:num>
  <w:num w:numId="4" w16cid:durableId="955911343">
    <w:abstractNumId w:val="0"/>
  </w:num>
  <w:num w:numId="5" w16cid:durableId="539779813">
    <w:abstractNumId w:val="10"/>
  </w:num>
  <w:num w:numId="6" w16cid:durableId="1678311830">
    <w:abstractNumId w:val="6"/>
  </w:num>
  <w:num w:numId="7" w16cid:durableId="1379427235">
    <w:abstractNumId w:val="5"/>
  </w:num>
  <w:num w:numId="8" w16cid:durableId="1168905096">
    <w:abstractNumId w:val="9"/>
  </w:num>
  <w:num w:numId="9" w16cid:durableId="151408743">
    <w:abstractNumId w:val="13"/>
  </w:num>
  <w:num w:numId="10" w16cid:durableId="1768849374">
    <w:abstractNumId w:val="3"/>
  </w:num>
  <w:num w:numId="11" w16cid:durableId="918250250">
    <w:abstractNumId w:val="12"/>
  </w:num>
  <w:num w:numId="12" w16cid:durableId="889851623">
    <w:abstractNumId w:val="11"/>
  </w:num>
  <w:num w:numId="13" w16cid:durableId="1377007396">
    <w:abstractNumId w:val="4"/>
  </w:num>
  <w:num w:numId="14" w16cid:durableId="188194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86"/>
    <w:rsid w:val="000003D8"/>
    <w:rsid w:val="00001A99"/>
    <w:rsid w:val="00016CAF"/>
    <w:rsid w:val="000273DB"/>
    <w:rsid w:val="00027F33"/>
    <w:rsid w:val="00033ED7"/>
    <w:rsid w:val="00041695"/>
    <w:rsid w:val="00042BEF"/>
    <w:rsid w:val="00064298"/>
    <w:rsid w:val="00067168"/>
    <w:rsid w:val="00075D06"/>
    <w:rsid w:val="00080BF8"/>
    <w:rsid w:val="000865FE"/>
    <w:rsid w:val="00086704"/>
    <w:rsid w:val="00087808"/>
    <w:rsid w:val="00090A34"/>
    <w:rsid w:val="000979F4"/>
    <w:rsid w:val="000C53FF"/>
    <w:rsid w:val="000C63DE"/>
    <w:rsid w:val="000D452D"/>
    <w:rsid w:val="000D62DE"/>
    <w:rsid w:val="000E1695"/>
    <w:rsid w:val="000E20B8"/>
    <w:rsid w:val="000E21AF"/>
    <w:rsid w:val="000E4C6E"/>
    <w:rsid w:val="000E5D82"/>
    <w:rsid w:val="000F4930"/>
    <w:rsid w:val="000F57A8"/>
    <w:rsid w:val="000F677F"/>
    <w:rsid w:val="00100E80"/>
    <w:rsid w:val="001010CD"/>
    <w:rsid w:val="00101978"/>
    <w:rsid w:val="00113FEF"/>
    <w:rsid w:val="001461DC"/>
    <w:rsid w:val="00156E60"/>
    <w:rsid w:val="00167306"/>
    <w:rsid w:val="0017608E"/>
    <w:rsid w:val="00185C82"/>
    <w:rsid w:val="00187FAF"/>
    <w:rsid w:val="00190974"/>
    <w:rsid w:val="001B516A"/>
    <w:rsid w:val="001B599D"/>
    <w:rsid w:val="001C7408"/>
    <w:rsid w:val="001C7A84"/>
    <w:rsid w:val="001D212C"/>
    <w:rsid w:val="001E241C"/>
    <w:rsid w:val="001F001E"/>
    <w:rsid w:val="002049F3"/>
    <w:rsid w:val="00211D96"/>
    <w:rsid w:val="002127BC"/>
    <w:rsid w:val="002169C4"/>
    <w:rsid w:val="00221A13"/>
    <w:rsid w:val="00222EE8"/>
    <w:rsid w:val="002324D2"/>
    <w:rsid w:val="0026323B"/>
    <w:rsid w:val="00294230"/>
    <w:rsid w:val="00295199"/>
    <w:rsid w:val="002A49DD"/>
    <w:rsid w:val="002B1534"/>
    <w:rsid w:val="002B2EE4"/>
    <w:rsid w:val="002B3339"/>
    <w:rsid w:val="002B6C7A"/>
    <w:rsid w:val="002B73FD"/>
    <w:rsid w:val="002C2E1B"/>
    <w:rsid w:val="002C7288"/>
    <w:rsid w:val="002E28C5"/>
    <w:rsid w:val="002F6601"/>
    <w:rsid w:val="00302322"/>
    <w:rsid w:val="0031279F"/>
    <w:rsid w:val="00313F0F"/>
    <w:rsid w:val="0031409A"/>
    <w:rsid w:val="00316B27"/>
    <w:rsid w:val="00320EDF"/>
    <w:rsid w:val="00321F44"/>
    <w:rsid w:val="00331BC4"/>
    <w:rsid w:val="00342A41"/>
    <w:rsid w:val="003441A5"/>
    <w:rsid w:val="0034702B"/>
    <w:rsid w:val="00356CC4"/>
    <w:rsid w:val="003570DE"/>
    <w:rsid w:val="00357DB6"/>
    <w:rsid w:val="003606C3"/>
    <w:rsid w:val="00361B77"/>
    <w:rsid w:val="00364617"/>
    <w:rsid w:val="00366EE0"/>
    <w:rsid w:val="00370492"/>
    <w:rsid w:val="00373C39"/>
    <w:rsid w:val="00375328"/>
    <w:rsid w:val="00393EBA"/>
    <w:rsid w:val="003A148B"/>
    <w:rsid w:val="003A705F"/>
    <w:rsid w:val="003B379E"/>
    <w:rsid w:val="003C0E15"/>
    <w:rsid w:val="003E5447"/>
    <w:rsid w:val="003E78E1"/>
    <w:rsid w:val="003F0988"/>
    <w:rsid w:val="003F7DAB"/>
    <w:rsid w:val="00410AEC"/>
    <w:rsid w:val="004114C2"/>
    <w:rsid w:val="004136B0"/>
    <w:rsid w:val="00425A76"/>
    <w:rsid w:val="0043000C"/>
    <w:rsid w:val="00450F10"/>
    <w:rsid w:val="00453E39"/>
    <w:rsid w:val="00455F9A"/>
    <w:rsid w:val="00457286"/>
    <w:rsid w:val="0046073C"/>
    <w:rsid w:val="00467B87"/>
    <w:rsid w:val="00467DF2"/>
    <w:rsid w:val="00477BC6"/>
    <w:rsid w:val="00481667"/>
    <w:rsid w:val="004828E1"/>
    <w:rsid w:val="00494B54"/>
    <w:rsid w:val="0049527A"/>
    <w:rsid w:val="004A4281"/>
    <w:rsid w:val="004B2505"/>
    <w:rsid w:val="004C0950"/>
    <w:rsid w:val="004C1A9D"/>
    <w:rsid w:val="004D5093"/>
    <w:rsid w:val="004E3AC3"/>
    <w:rsid w:val="004F18E7"/>
    <w:rsid w:val="00504871"/>
    <w:rsid w:val="00505113"/>
    <w:rsid w:val="00520642"/>
    <w:rsid w:val="00523D48"/>
    <w:rsid w:val="00526C6A"/>
    <w:rsid w:val="0053435A"/>
    <w:rsid w:val="0054144C"/>
    <w:rsid w:val="0056083E"/>
    <w:rsid w:val="0056564A"/>
    <w:rsid w:val="00576174"/>
    <w:rsid w:val="00577CA0"/>
    <w:rsid w:val="0058560A"/>
    <w:rsid w:val="005863DD"/>
    <w:rsid w:val="005875AC"/>
    <w:rsid w:val="00595F81"/>
    <w:rsid w:val="005B0E48"/>
    <w:rsid w:val="005C0AF0"/>
    <w:rsid w:val="005C13EF"/>
    <w:rsid w:val="005C3F16"/>
    <w:rsid w:val="005C6399"/>
    <w:rsid w:val="005D5FFC"/>
    <w:rsid w:val="005E1D13"/>
    <w:rsid w:val="005E2114"/>
    <w:rsid w:val="005F13DB"/>
    <w:rsid w:val="005F5B47"/>
    <w:rsid w:val="006036D6"/>
    <w:rsid w:val="00610624"/>
    <w:rsid w:val="00614062"/>
    <w:rsid w:val="006171B3"/>
    <w:rsid w:val="006222CC"/>
    <w:rsid w:val="00625FC3"/>
    <w:rsid w:val="00630964"/>
    <w:rsid w:val="00640822"/>
    <w:rsid w:val="00646AF8"/>
    <w:rsid w:val="00653B5F"/>
    <w:rsid w:val="00656A7E"/>
    <w:rsid w:val="00672A10"/>
    <w:rsid w:val="00675C3A"/>
    <w:rsid w:val="00677A4B"/>
    <w:rsid w:val="006808D2"/>
    <w:rsid w:val="00683F82"/>
    <w:rsid w:val="006861EB"/>
    <w:rsid w:val="006C3C9E"/>
    <w:rsid w:val="006C6F4A"/>
    <w:rsid w:val="006D148A"/>
    <w:rsid w:val="006F1FE6"/>
    <w:rsid w:val="006F2B83"/>
    <w:rsid w:val="006F6154"/>
    <w:rsid w:val="00702AD5"/>
    <w:rsid w:val="0071299D"/>
    <w:rsid w:val="007162F0"/>
    <w:rsid w:val="00717EBC"/>
    <w:rsid w:val="007329D8"/>
    <w:rsid w:val="00736952"/>
    <w:rsid w:val="00745CA7"/>
    <w:rsid w:val="00750522"/>
    <w:rsid w:val="007644F7"/>
    <w:rsid w:val="007668B7"/>
    <w:rsid w:val="00772235"/>
    <w:rsid w:val="00773354"/>
    <w:rsid w:val="00777353"/>
    <w:rsid w:val="00782C62"/>
    <w:rsid w:val="00786D97"/>
    <w:rsid w:val="00791F40"/>
    <w:rsid w:val="00793636"/>
    <w:rsid w:val="007973CA"/>
    <w:rsid w:val="007A03E1"/>
    <w:rsid w:val="007A4AAE"/>
    <w:rsid w:val="007A5F0E"/>
    <w:rsid w:val="007B3637"/>
    <w:rsid w:val="007B52C5"/>
    <w:rsid w:val="007B5F13"/>
    <w:rsid w:val="007C3859"/>
    <w:rsid w:val="007C6321"/>
    <w:rsid w:val="007C7397"/>
    <w:rsid w:val="007C7BFC"/>
    <w:rsid w:val="007F02B4"/>
    <w:rsid w:val="007F2C08"/>
    <w:rsid w:val="00803A9D"/>
    <w:rsid w:val="008074DA"/>
    <w:rsid w:val="00814350"/>
    <w:rsid w:val="008173BB"/>
    <w:rsid w:val="00821702"/>
    <w:rsid w:val="00823A54"/>
    <w:rsid w:val="008247C5"/>
    <w:rsid w:val="00831E91"/>
    <w:rsid w:val="00833694"/>
    <w:rsid w:val="0083473F"/>
    <w:rsid w:val="008433C1"/>
    <w:rsid w:val="008562C8"/>
    <w:rsid w:val="00866611"/>
    <w:rsid w:val="00872EC2"/>
    <w:rsid w:val="008731EB"/>
    <w:rsid w:val="0087424F"/>
    <w:rsid w:val="008756C3"/>
    <w:rsid w:val="008870F8"/>
    <w:rsid w:val="008872E6"/>
    <w:rsid w:val="0089072D"/>
    <w:rsid w:val="008A06EA"/>
    <w:rsid w:val="008A18F2"/>
    <w:rsid w:val="008A3612"/>
    <w:rsid w:val="008A6688"/>
    <w:rsid w:val="008A7501"/>
    <w:rsid w:val="008B1335"/>
    <w:rsid w:val="008C1ABB"/>
    <w:rsid w:val="008C2D30"/>
    <w:rsid w:val="008D5D2E"/>
    <w:rsid w:val="008E19E9"/>
    <w:rsid w:val="008E66F3"/>
    <w:rsid w:val="008F4D17"/>
    <w:rsid w:val="009257C5"/>
    <w:rsid w:val="00932E45"/>
    <w:rsid w:val="00934442"/>
    <w:rsid w:val="00951540"/>
    <w:rsid w:val="009573FC"/>
    <w:rsid w:val="00957775"/>
    <w:rsid w:val="00970A11"/>
    <w:rsid w:val="009767CD"/>
    <w:rsid w:val="009777B6"/>
    <w:rsid w:val="00994C68"/>
    <w:rsid w:val="00995905"/>
    <w:rsid w:val="0099737D"/>
    <w:rsid w:val="009A187A"/>
    <w:rsid w:val="009A4291"/>
    <w:rsid w:val="009B435C"/>
    <w:rsid w:val="009C2661"/>
    <w:rsid w:val="009C28C1"/>
    <w:rsid w:val="009F4529"/>
    <w:rsid w:val="00A06567"/>
    <w:rsid w:val="00A077BD"/>
    <w:rsid w:val="00A115D7"/>
    <w:rsid w:val="00A1181E"/>
    <w:rsid w:val="00A13A08"/>
    <w:rsid w:val="00A15E31"/>
    <w:rsid w:val="00A173B3"/>
    <w:rsid w:val="00A45A78"/>
    <w:rsid w:val="00A50021"/>
    <w:rsid w:val="00A60A23"/>
    <w:rsid w:val="00A77E03"/>
    <w:rsid w:val="00A84367"/>
    <w:rsid w:val="00A8445F"/>
    <w:rsid w:val="00A87FB4"/>
    <w:rsid w:val="00A94B91"/>
    <w:rsid w:val="00AA0A38"/>
    <w:rsid w:val="00AA2480"/>
    <w:rsid w:val="00AA258A"/>
    <w:rsid w:val="00AB52CF"/>
    <w:rsid w:val="00AB5A55"/>
    <w:rsid w:val="00AB752D"/>
    <w:rsid w:val="00AB7578"/>
    <w:rsid w:val="00AC2E78"/>
    <w:rsid w:val="00AD0870"/>
    <w:rsid w:val="00AE25CD"/>
    <w:rsid w:val="00AE6B6A"/>
    <w:rsid w:val="00AF47CE"/>
    <w:rsid w:val="00B018D6"/>
    <w:rsid w:val="00B01F07"/>
    <w:rsid w:val="00B0240F"/>
    <w:rsid w:val="00B0450A"/>
    <w:rsid w:val="00B06D26"/>
    <w:rsid w:val="00B23149"/>
    <w:rsid w:val="00B2686C"/>
    <w:rsid w:val="00B32A12"/>
    <w:rsid w:val="00B334DB"/>
    <w:rsid w:val="00B6116D"/>
    <w:rsid w:val="00B768A0"/>
    <w:rsid w:val="00B7781E"/>
    <w:rsid w:val="00B808AD"/>
    <w:rsid w:val="00B83E0A"/>
    <w:rsid w:val="00B8465F"/>
    <w:rsid w:val="00B903E9"/>
    <w:rsid w:val="00B954C6"/>
    <w:rsid w:val="00B97624"/>
    <w:rsid w:val="00BA3D07"/>
    <w:rsid w:val="00BA41F2"/>
    <w:rsid w:val="00BC3386"/>
    <w:rsid w:val="00BE7F40"/>
    <w:rsid w:val="00BF0E31"/>
    <w:rsid w:val="00BF41DB"/>
    <w:rsid w:val="00BF5557"/>
    <w:rsid w:val="00C06A9A"/>
    <w:rsid w:val="00C10A37"/>
    <w:rsid w:val="00C24C0D"/>
    <w:rsid w:val="00C314A1"/>
    <w:rsid w:val="00C35EBD"/>
    <w:rsid w:val="00C36ED0"/>
    <w:rsid w:val="00C415B1"/>
    <w:rsid w:val="00C457B9"/>
    <w:rsid w:val="00C50105"/>
    <w:rsid w:val="00C50CBE"/>
    <w:rsid w:val="00C53F60"/>
    <w:rsid w:val="00C55128"/>
    <w:rsid w:val="00C56C72"/>
    <w:rsid w:val="00C57812"/>
    <w:rsid w:val="00C81202"/>
    <w:rsid w:val="00C8365D"/>
    <w:rsid w:val="00CA0968"/>
    <w:rsid w:val="00CC0FF8"/>
    <w:rsid w:val="00CD0966"/>
    <w:rsid w:val="00CD587F"/>
    <w:rsid w:val="00CE291C"/>
    <w:rsid w:val="00CE46E3"/>
    <w:rsid w:val="00CF79FF"/>
    <w:rsid w:val="00D059E6"/>
    <w:rsid w:val="00D1395F"/>
    <w:rsid w:val="00D21BC1"/>
    <w:rsid w:val="00D26FBD"/>
    <w:rsid w:val="00D803B1"/>
    <w:rsid w:val="00D82232"/>
    <w:rsid w:val="00D9656A"/>
    <w:rsid w:val="00D97499"/>
    <w:rsid w:val="00D9777D"/>
    <w:rsid w:val="00DB3F69"/>
    <w:rsid w:val="00DD2151"/>
    <w:rsid w:val="00DD5EB5"/>
    <w:rsid w:val="00DE5870"/>
    <w:rsid w:val="00DE5E48"/>
    <w:rsid w:val="00DF5FF5"/>
    <w:rsid w:val="00DF726A"/>
    <w:rsid w:val="00E116D3"/>
    <w:rsid w:val="00E173AF"/>
    <w:rsid w:val="00E25DA8"/>
    <w:rsid w:val="00E27B5E"/>
    <w:rsid w:val="00E331B3"/>
    <w:rsid w:val="00E345F9"/>
    <w:rsid w:val="00E45679"/>
    <w:rsid w:val="00E51300"/>
    <w:rsid w:val="00E6026B"/>
    <w:rsid w:val="00E63856"/>
    <w:rsid w:val="00E7227C"/>
    <w:rsid w:val="00E741F6"/>
    <w:rsid w:val="00E83CD4"/>
    <w:rsid w:val="00E865CF"/>
    <w:rsid w:val="00E87481"/>
    <w:rsid w:val="00E9259A"/>
    <w:rsid w:val="00E941E5"/>
    <w:rsid w:val="00E97491"/>
    <w:rsid w:val="00EA6CFA"/>
    <w:rsid w:val="00EC21BE"/>
    <w:rsid w:val="00EC4431"/>
    <w:rsid w:val="00EE1CF9"/>
    <w:rsid w:val="00EF3031"/>
    <w:rsid w:val="00EF4BDB"/>
    <w:rsid w:val="00F0092E"/>
    <w:rsid w:val="00F046CE"/>
    <w:rsid w:val="00F05DF6"/>
    <w:rsid w:val="00F13C15"/>
    <w:rsid w:val="00F23717"/>
    <w:rsid w:val="00F23EB5"/>
    <w:rsid w:val="00F32E4D"/>
    <w:rsid w:val="00F4730B"/>
    <w:rsid w:val="00F511D7"/>
    <w:rsid w:val="00F520E7"/>
    <w:rsid w:val="00F5420C"/>
    <w:rsid w:val="00F61BAB"/>
    <w:rsid w:val="00F631FB"/>
    <w:rsid w:val="00F64C90"/>
    <w:rsid w:val="00F7620F"/>
    <w:rsid w:val="00F81E1A"/>
    <w:rsid w:val="00FA0601"/>
    <w:rsid w:val="00FA35B0"/>
    <w:rsid w:val="00FA7CC9"/>
    <w:rsid w:val="00FB3795"/>
    <w:rsid w:val="00FC123A"/>
    <w:rsid w:val="00FC715C"/>
    <w:rsid w:val="00FE5DF7"/>
    <w:rsid w:val="00FF6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2C05D"/>
  <w15:docId w15:val="{04D60441-9FE8-435A-AF49-65BB24B6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44444"/>
        <w:sz w:val="24"/>
        <w:szCs w:val="24"/>
        <w:lang w:val="en-US" w:eastAsia="en-US" w:bidi="ar-SA"/>
      </w:rPr>
    </w:rPrDefault>
    <w:pPrDefault>
      <w:pPr>
        <w:ind w:left="116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AE"/>
  </w:style>
  <w:style w:type="paragraph" w:styleId="Ttol1">
    <w:name w:val="heading 1"/>
    <w:basedOn w:val="Normal"/>
    <w:link w:val="Ttol1Car"/>
    <w:uiPriority w:val="9"/>
    <w:qFormat/>
    <w:rsid w:val="00E27B5E"/>
    <w:pPr>
      <w:spacing w:before="100" w:beforeAutospacing="1" w:after="100" w:afterAutospacing="1"/>
      <w:ind w:left="0"/>
      <w:outlineLvl w:val="0"/>
    </w:pPr>
    <w:rPr>
      <w:rFonts w:ascii="Times New Roman" w:eastAsia="Times New Roman" w:hAnsi="Times New Roman" w:cs="Times New Roman"/>
      <w:b/>
      <w:bCs/>
      <w:color w:val="auto"/>
      <w:kern w:val="36"/>
      <w:sz w:val="48"/>
      <w:szCs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link w:val="DefaultChar"/>
    <w:rsid w:val="00457286"/>
    <w:pPr>
      <w:widowControl w:val="0"/>
      <w:autoSpaceDE w:val="0"/>
      <w:autoSpaceDN w:val="0"/>
      <w:adjustRightInd w:val="0"/>
      <w:ind w:left="0"/>
    </w:pPr>
    <w:rPr>
      <w:rFonts w:ascii="Times New Roman" w:eastAsia="Times New Roman" w:hAnsi="Times New Roman" w:cs="Times New Roman"/>
      <w:color w:val="000000"/>
    </w:rPr>
  </w:style>
  <w:style w:type="paragraph" w:styleId="Capalera">
    <w:name w:val="header"/>
    <w:basedOn w:val="Normal"/>
    <w:link w:val="CapaleraCar"/>
    <w:uiPriority w:val="99"/>
    <w:unhideWhenUsed/>
    <w:rsid w:val="0056083E"/>
    <w:pPr>
      <w:tabs>
        <w:tab w:val="center" w:pos="4680"/>
        <w:tab w:val="right" w:pos="9360"/>
      </w:tabs>
    </w:pPr>
  </w:style>
  <w:style w:type="character" w:customStyle="1" w:styleId="CapaleraCar">
    <w:name w:val="Capçalera Car"/>
    <w:basedOn w:val="Lletraperdefectedelpargraf"/>
    <w:link w:val="Capalera"/>
    <w:uiPriority w:val="99"/>
    <w:rsid w:val="0056083E"/>
  </w:style>
  <w:style w:type="paragraph" w:styleId="Peu">
    <w:name w:val="footer"/>
    <w:basedOn w:val="Normal"/>
    <w:link w:val="PeuCar"/>
    <w:uiPriority w:val="99"/>
    <w:unhideWhenUsed/>
    <w:rsid w:val="0056083E"/>
    <w:pPr>
      <w:tabs>
        <w:tab w:val="center" w:pos="4680"/>
        <w:tab w:val="right" w:pos="9360"/>
      </w:tabs>
    </w:pPr>
  </w:style>
  <w:style w:type="character" w:customStyle="1" w:styleId="PeuCar">
    <w:name w:val="Peu Car"/>
    <w:basedOn w:val="Lletraperdefectedelpargraf"/>
    <w:link w:val="Peu"/>
    <w:uiPriority w:val="99"/>
    <w:rsid w:val="0056083E"/>
  </w:style>
  <w:style w:type="paragraph" w:styleId="Textdeglobus">
    <w:name w:val="Balloon Text"/>
    <w:basedOn w:val="Normal"/>
    <w:link w:val="TextdeglobusCar"/>
    <w:uiPriority w:val="99"/>
    <w:semiHidden/>
    <w:unhideWhenUsed/>
    <w:rsid w:val="0056083E"/>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56083E"/>
    <w:rPr>
      <w:rFonts w:ascii="Tahoma" w:hAnsi="Tahoma" w:cs="Tahoma"/>
      <w:sz w:val="16"/>
      <w:szCs w:val="16"/>
    </w:rPr>
  </w:style>
  <w:style w:type="paragraph" w:customStyle="1" w:styleId="Style1">
    <w:name w:val="Style1"/>
    <w:basedOn w:val="Default"/>
    <w:link w:val="Style1Char"/>
    <w:qFormat/>
    <w:rsid w:val="009A187A"/>
    <w:pPr>
      <w:numPr>
        <w:numId w:val="1"/>
      </w:numPr>
      <w:ind w:left="0" w:firstLine="0"/>
    </w:pPr>
    <w:rPr>
      <w:rFonts w:ascii="Arial" w:hAnsi="Arial" w:cs="Arial"/>
      <w:b/>
    </w:rPr>
  </w:style>
  <w:style w:type="character" w:styleId="Enlla">
    <w:name w:val="Hyperlink"/>
    <w:basedOn w:val="Lletraperdefectedelpargraf"/>
    <w:uiPriority w:val="99"/>
    <w:unhideWhenUsed/>
    <w:rsid w:val="00356CC4"/>
    <w:rPr>
      <w:color w:val="0000FF" w:themeColor="hyperlink"/>
      <w:u w:val="single"/>
    </w:rPr>
  </w:style>
  <w:style w:type="character" w:customStyle="1" w:styleId="DefaultChar">
    <w:name w:val="Default Char"/>
    <w:basedOn w:val="Lletraperdefectedelpargraf"/>
    <w:link w:val="Default"/>
    <w:rsid w:val="009A187A"/>
    <w:rPr>
      <w:rFonts w:ascii="Times New Roman" w:eastAsia="Times New Roman" w:hAnsi="Times New Roman" w:cs="Times New Roman"/>
      <w:color w:val="000000"/>
    </w:rPr>
  </w:style>
  <w:style w:type="character" w:customStyle="1" w:styleId="Style1Char">
    <w:name w:val="Style1 Char"/>
    <w:basedOn w:val="DefaultChar"/>
    <w:link w:val="Style1"/>
    <w:rsid w:val="009A187A"/>
    <w:rPr>
      <w:rFonts w:ascii="Times New Roman" w:eastAsia="Times New Roman" w:hAnsi="Times New Roman" w:cs="Times New Roman"/>
      <w:b/>
      <w:color w:val="000000"/>
    </w:rPr>
  </w:style>
  <w:style w:type="paragraph" w:styleId="Pargrafdellista">
    <w:name w:val="List Paragraph"/>
    <w:basedOn w:val="Normal"/>
    <w:uiPriority w:val="34"/>
    <w:qFormat/>
    <w:rsid w:val="00C10A37"/>
    <w:pPr>
      <w:ind w:left="720"/>
      <w:contextualSpacing/>
    </w:pPr>
  </w:style>
  <w:style w:type="character" w:styleId="Refernciadecomentari">
    <w:name w:val="annotation reference"/>
    <w:basedOn w:val="Lletraperdefectedelpargraf"/>
    <w:uiPriority w:val="99"/>
    <w:semiHidden/>
    <w:unhideWhenUsed/>
    <w:rsid w:val="002B3339"/>
    <w:rPr>
      <w:sz w:val="16"/>
      <w:szCs w:val="16"/>
    </w:rPr>
  </w:style>
  <w:style w:type="paragraph" w:styleId="Textdecomentari">
    <w:name w:val="annotation text"/>
    <w:basedOn w:val="Normal"/>
    <w:link w:val="TextdecomentariCar"/>
    <w:uiPriority w:val="99"/>
    <w:semiHidden/>
    <w:unhideWhenUsed/>
    <w:rsid w:val="002B3339"/>
    <w:rPr>
      <w:sz w:val="20"/>
      <w:szCs w:val="20"/>
    </w:rPr>
  </w:style>
  <w:style w:type="character" w:customStyle="1" w:styleId="TextdecomentariCar">
    <w:name w:val="Text de comentari Car"/>
    <w:basedOn w:val="Lletraperdefectedelpargraf"/>
    <w:link w:val="Textdecomentari"/>
    <w:uiPriority w:val="99"/>
    <w:semiHidden/>
    <w:rsid w:val="002B3339"/>
    <w:rPr>
      <w:sz w:val="20"/>
      <w:szCs w:val="20"/>
    </w:rPr>
  </w:style>
  <w:style w:type="paragraph" w:styleId="Temadelcomentari">
    <w:name w:val="annotation subject"/>
    <w:basedOn w:val="Textdecomentari"/>
    <w:next w:val="Textdecomentari"/>
    <w:link w:val="TemadelcomentariCar"/>
    <w:uiPriority w:val="99"/>
    <w:semiHidden/>
    <w:unhideWhenUsed/>
    <w:rsid w:val="002B3339"/>
    <w:rPr>
      <w:b/>
      <w:bCs/>
    </w:rPr>
  </w:style>
  <w:style w:type="character" w:customStyle="1" w:styleId="TemadelcomentariCar">
    <w:name w:val="Tema del comentari Car"/>
    <w:basedOn w:val="TextdecomentariCar"/>
    <w:link w:val="Temadelcomentari"/>
    <w:uiPriority w:val="99"/>
    <w:semiHidden/>
    <w:rsid w:val="002B3339"/>
    <w:rPr>
      <w:b/>
      <w:bCs/>
      <w:sz w:val="20"/>
      <w:szCs w:val="20"/>
    </w:rPr>
  </w:style>
  <w:style w:type="character" w:styleId="Enllavisitat">
    <w:name w:val="FollowedHyperlink"/>
    <w:basedOn w:val="Lletraperdefectedelpargraf"/>
    <w:uiPriority w:val="99"/>
    <w:semiHidden/>
    <w:unhideWhenUsed/>
    <w:rsid w:val="00A15E31"/>
    <w:rPr>
      <w:color w:val="800080" w:themeColor="followedHyperlink"/>
      <w:u w:val="single"/>
    </w:rPr>
  </w:style>
  <w:style w:type="paragraph" w:styleId="Revisi">
    <w:name w:val="Revision"/>
    <w:hidden/>
    <w:uiPriority w:val="99"/>
    <w:semiHidden/>
    <w:rsid w:val="009C28C1"/>
    <w:pPr>
      <w:ind w:left="0"/>
    </w:pPr>
  </w:style>
  <w:style w:type="character" w:customStyle="1" w:styleId="Ttol1Car">
    <w:name w:val="Títol 1 Car"/>
    <w:basedOn w:val="Lletraperdefectedelpargraf"/>
    <w:link w:val="Ttol1"/>
    <w:uiPriority w:val="9"/>
    <w:rsid w:val="00E27B5E"/>
    <w:rPr>
      <w:rFonts w:ascii="Times New Roman" w:eastAsia="Times New Roman" w:hAnsi="Times New Roman" w:cs="Times New Roman"/>
      <w:b/>
      <w:bCs/>
      <w:color w:val="auto"/>
      <w:kern w:val="36"/>
      <w:sz w:val="48"/>
      <w:szCs w:val="48"/>
    </w:rPr>
  </w:style>
  <w:style w:type="paragraph" w:styleId="NormalWeb">
    <w:name w:val="Normal (Web)"/>
    <w:basedOn w:val="Normal"/>
    <w:uiPriority w:val="99"/>
    <w:unhideWhenUsed/>
    <w:rsid w:val="00F511D7"/>
    <w:pPr>
      <w:spacing w:before="100" w:beforeAutospacing="1" w:after="100" w:afterAutospacing="1"/>
      <w:ind w:left="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3475">
      <w:bodyDiv w:val="1"/>
      <w:marLeft w:val="0"/>
      <w:marRight w:val="0"/>
      <w:marTop w:val="0"/>
      <w:marBottom w:val="0"/>
      <w:divBdr>
        <w:top w:val="none" w:sz="0" w:space="0" w:color="auto"/>
        <w:left w:val="none" w:sz="0" w:space="0" w:color="auto"/>
        <w:bottom w:val="none" w:sz="0" w:space="0" w:color="auto"/>
        <w:right w:val="none" w:sz="0" w:space="0" w:color="auto"/>
      </w:divBdr>
      <w:divsChild>
        <w:div w:id="1565139484">
          <w:marLeft w:val="0"/>
          <w:marRight w:val="0"/>
          <w:marTop w:val="0"/>
          <w:marBottom w:val="0"/>
          <w:divBdr>
            <w:top w:val="none" w:sz="0" w:space="0" w:color="auto"/>
            <w:left w:val="none" w:sz="0" w:space="0" w:color="auto"/>
            <w:bottom w:val="none" w:sz="0" w:space="0" w:color="auto"/>
            <w:right w:val="none" w:sz="0" w:space="0" w:color="auto"/>
          </w:divBdr>
          <w:divsChild>
            <w:div w:id="1883862490">
              <w:marLeft w:val="0"/>
              <w:marRight w:val="0"/>
              <w:marTop w:val="0"/>
              <w:marBottom w:val="0"/>
              <w:divBdr>
                <w:top w:val="none" w:sz="0" w:space="0" w:color="auto"/>
                <w:left w:val="none" w:sz="0" w:space="0" w:color="auto"/>
                <w:bottom w:val="none" w:sz="0" w:space="0" w:color="auto"/>
                <w:right w:val="none" w:sz="0" w:space="0" w:color="auto"/>
              </w:divBdr>
              <w:divsChild>
                <w:div w:id="895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12489">
          <w:marLeft w:val="0"/>
          <w:marRight w:val="0"/>
          <w:marTop w:val="0"/>
          <w:marBottom w:val="0"/>
          <w:divBdr>
            <w:top w:val="none" w:sz="0" w:space="0" w:color="auto"/>
            <w:left w:val="none" w:sz="0" w:space="0" w:color="auto"/>
            <w:bottom w:val="none" w:sz="0" w:space="0" w:color="auto"/>
            <w:right w:val="none" w:sz="0" w:space="0" w:color="auto"/>
          </w:divBdr>
          <w:divsChild>
            <w:div w:id="196704402">
              <w:marLeft w:val="0"/>
              <w:marRight w:val="0"/>
              <w:marTop w:val="0"/>
              <w:marBottom w:val="0"/>
              <w:divBdr>
                <w:top w:val="none" w:sz="0" w:space="0" w:color="auto"/>
                <w:left w:val="none" w:sz="0" w:space="0" w:color="auto"/>
                <w:bottom w:val="none" w:sz="0" w:space="0" w:color="auto"/>
                <w:right w:val="none" w:sz="0" w:space="0" w:color="auto"/>
              </w:divBdr>
              <w:divsChild>
                <w:div w:id="1264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417">
      <w:bodyDiv w:val="1"/>
      <w:marLeft w:val="0"/>
      <w:marRight w:val="0"/>
      <w:marTop w:val="0"/>
      <w:marBottom w:val="0"/>
      <w:divBdr>
        <w:top w:val="none" w:sz="0" w:space="0" w:color="auto"/>
        <w:left w:val="none" w:sz="0" w:space="0" w:color="auto"/>
        <w:bottom w:val="none" w:sz="0" w:space="0" w:color="auto"/>
        <w:right w:val="none" w:sz="0" w:space="0" w:color="auto"/>
      </w:divBdr>
    </w:div>
    <w:div w:id="639921646">
      <w:bodyDiv w:val="1"/>
      <w:marLeft w:val="0"/>
      <w:marRight w:val="0"/>
      <w:marTop w:val="0"/>
      <w:marBottom w:val="0"/>
      <w:divBdr>
        <w:top w:val="none" w:sz="0" w:space="0" w:color="auto"/>
        <w:left w:val="none" w:sz="0" w:space="0" w:color="auto"/>
        <w:bottom w:val="none" w:sz="0" w:space="0" w:color="auto"/>
        <w:right w:val="none" w:sz="0" w:space="0" w:color="auto"/>
      </w:divBdr>
    </w:div>
    <w:div w:id="834880403">
      <w:bodyDiv w:val="1"/>
      <w:marLeft w:val="0"/>
      <w:marRight w:val="0"/>
      <w:marTop w:val="0"/>
      <w:marBottom w:val="0"/>
      <w:divBdr>
        <w:top w:val="none" w:sz="0" w:space="0" w:color="auto"/>
        <w:left w:val="none" w:sz="0" w:space="0" w:color="auto"/>
        <w:bottom w:val="none" w:sz="0" w:space="0" w:color="auto"/>
        <w:right w:val="none" w:sz="0" w:space="0" w:color="auto"/>
      </w:divBdr>
    </w:div>
    <w:div w:id="1103846825">
      <w:bodyDiv w:val="1"/>
      <w:marLeft w:val="0"/>
      <w:marRight w:val="0"/>
      <w:marTop w:val="0"/>
      <w:marBottom w:val="0"/>
      <w:divBdr>
        <w:top w:val="none" w:sz="0" w:space="0" w:color="auto"/>
        <w:left w:val="none" w:sz="0" w:space="0" w:color="auto"/>
        <w:bottom w:val="none" w:sz="0" w:space="0" w:color="auto"/>
        <w:right w:val="none" w:sz="0" w:space="0" w:color="auto"/>
      </w:divBdr>
      <w:divsChild>
        <w:div w:id="1582332865">
          <w:marLeft w:val="0"/>
          <w:marRight w:val="0"/>
          <w:marTop w:val="0"/>
          <w:marBottom w:val="0"/>
          <w:divBdr>
            <w:top w:val="none" w:sz="0" w:space="0" w:color="auto"/>
            <w:left w:val="none" w:sz="0" w:space="0" w:color="auto"/>
            <w:bottom w:val="none" w:sz="0" w:space="0" w:color="auto"/>
            <w:right w:val="none" w:sz="0" w:space="0" w:color="auto"/>
          </w:divBdr>
          <w:divsChild>
            <w:div w:id="519512749">
              <w:marLeft w:val="0"/>
              <w:marRight w:val="0"/>
              <w:marTop w:val="0"/>
              <w:marBottom w:val="0"/>
              <w:divBdr>
                <w:top w:val="none" w:sz="0" w:space="0" w:color="auto"/>
                <w:left w:val="none" w:sz="0" w:space="0" w:color="auto"/>
                <w:bottom w:val="none" w:sz="0" w:space="0" w:color="auto"/>
                <w:right w:val="none" w:sz="0" w:space="0" w:color="auto"/>
              </w:divBdr>
              <w:divsChild>
                <w:div w:id="13377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9202">
      <w:bodyDiv w:val="1"/>
      <w:marLeft w:val="0"/>
      <w:marRight w:val="0"/>
      <w:marTop w:val="0"/>
      <w:marBottom w:val="0"/>
      <w:divBdr>
        <w:top w:val="none" w:sz="0" w:space="0" w:color="auto"/>
        <w:left w:val="none" w:sz="0" w:space="0" w:color="auto"/>
        <w:bottom w:val="none" w:sz="0" w:space="0" w:color="auto"/>
        <w:right w:val="none" w:sz="0" w:space="0" w:color="auto"/>
      </w:divBdr>
      <w:divsChild>
        <w:div w:id="1324049383">
          <w:marLeft w:val="0"/>
          <w:marRight w:val="0"/>
          <w:marTop w:val="0"/>
          <w:marBottom w:val="0"/>
          <w:divBdr>
            <w:top w:val="none" w:sz="0" w:space="0" w:color="auto"/>
            <w:left w:val="none" w:sz="0" w:space="0" w:color="auto"/>
            <w:bottom w:val="none" w:sz="0" w:space="0" w:color="auto"/>
            <w:right w:val="none" w:sz="0" w:space="0" w:color="auto"/>
          </w:divBdr>
          <w:divsChild>
            <w:div w:id="1642804840">
              <w:marLeft w:val="0"/>
              <w:marRight w:val="0"/>
              <w:marTop w:val="0"/>
              <w:marBottom w:val="0"/>
              <w:divBdr>
                <w:top w:val="none" w:sz="0" w:space="0" w:color="auto"/>
                <w:left w:val="none" w:sz="0" w:space="0" w:color="auto"/>
                <w:bottom w:val="none" w:sz="0" w:space="0" w:color="auto"/>
                <w:right w:val="none" w:sz="0" w:space="0" w:color="auto"/>
              </w:divBdr>
              <w:divsChild>
                <w:div w:id="16354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3054">
      <w:bodyDiv w:val="1"/>
      <w:marLeft w:val="0"/>
      <w:marRight w:val="0"/>
      <w:marTop w:val="0"/>
      <w:marBottom w:val="0"/>
      <w:divBdr>
        <w:top w:val="none" w:sz="0" w:space="0" w:color="auto"/>
        <w:left w:val="none" w:sz="0" w:space="0" w:color="auto"/>
        <w:bottom w:val="none" w:sz="0" w:space="0" w:color="auto"/>
        <w:right w:val="none" w:sz="0" w:space="0" w:color="auto"/>
      </w:divBdr>
      <w:divsChild>
        <w:div w:id="188303951">
          <w:marLeft w:val="0"/>
          <w:marRight w:val="0"/>
          <w:marTop w:val="0"/>
          <w:marBottom w:val="0"/>
          <w:divBdr>
            <w:top w:val="none" w:sz="0" w:space="0" w:color="auto"/>
            <w:left w:val="none" w:sz="0" w:space="0" w:color="auto"/>
            <w:bottom w:val="none" w:sz="0" w:space="0" w:color="auto"/>
            <w:right w:val="none" w:sz="0" w:space="0" w:color="auto"/>
          </w:divBdr>
          <w:divsChild>
            <w:div w:id="172377816">
              <w:marLeft w:val="0"/>
              <w:marRight w:val="0"/>
              <w:marTop w:val="0"/>
              <w:marBottom w:val="0"/>
              <w:divBdr>
                <w:top w:val="none" w:sz="0" w:space="0" w:color="auto"/>
                <w:left w:val="none" w:sz="0" w:space="0" w:color="auto"/>
                <w:bottom w:val="none" w:sz="0" w:space="0" w:color="auto"/>
                <w:right w:val="none" w:sz="0" w:space="0" w:color="auto"/>
              </w:divBdr>
              <w:divsChild>
                <w:div w:id="1268851751">
                  <w:marLeft w:val="0"/>
                  <w:marRight w:val="0"/>
                  <w:marTop w:val="0"/>
                  <w:marBottom w:val="0"/>
                  <w:divBdr>
                    <w:top w:val="none" w:sz="0" w:space="0" w:color="auto"/>
                    <w:left w:val="none" w:sz="0" w:space="0" w:color="auto"/>
                    <w:bottom w:val="none" w:sz="0" w:space="0" w:color="auto"/>
                    <w:right w:val="none" w:sz="0" w:space="0" w:color="auto"/>
                  </w:divBdr>
                </w:div>
              </w:divsChild>
            </w:div>
            <w:div w:id="326056984">
              <w:marLeft w:val="0"/>
              <w:marRight w:val="0"/>
              <w:marTop w:val="0"/>
              <w:marBottom w:val="0"/>
              <w:divBdr>
                <w:top w:val="none" w:sz="0" w:space="0" w:color="auto"/>
                <w:left w:val="none" w:sz="0" w:space="0" w:color="auto"/>
                <w:bottom w:val="none" w:sz="0" w:space="0" w:color="auto"/>
                <w:right w:val="none" w:sz="0" w:space="0" w:color="auto"/>
              </w:divBdr>
              <w:divsChild>
                <w:div w:id="1947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2486">
          <w:marLeft w:val="0"/>
          <w:marRight w:val="0"/>
          <w:marTop w:val="0"/>
          <w:marBottom w:val="0"/>
          <w:divBdr>
            <w:top w:val="none" w:sz="0" w:space="0" w:color="auto"/>
            <w:left w:val="none" w:sz="0" w:space="0" w:color="auto"/>
            <w:bottom w:val="none" w:sz="0" w:space="0" w:color="auto"/>
            <w:right w:val="none" w:sz="0" w:space="0" w:color="auto"/>
          </w:divBdr>
          <w:divsChild>
            <w:div w:id="194538668">
              <w:marLeft w:val="0"/>
              <w:marRight w:val="0"/>
              <w:marTop w:val="0"/>
              <w:marBottom w:val="0"/>
              <w:divBdr>
                <w:top w:val="none" w:sz="0" w:space="0" w:color="auto"/>
                <w:left w:val="none" w:sz="0" w:space="0" w:color="auto"/>
                <w:bottom w:val="none" w:sz="0" w:space="0" w:color="auto"/>
                <w:right w:val="none" w:sz="0" w:space="0" w:color="auto"/>
              </w:divBdr>
              <w:divsChild>
                <w:div w:id="17622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A201-E049-41EC-9DBF-C8766283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 Ricki M;Killebrew, Pamela M</dc:creator>
  <cp:lastModifiedBy>Abella Villafranca, Adria A</cp:lastModifiedBy>
  <cp:revision>3</cp:revision>
  <cp:lastPrinted>2011-08-29T14:15:00Z</cp:lastPrinted>
  <dcterms:created xsi:type="dcterms:W3CDTF">2023-04-14T19:39:00Z</dcterms:created>
  <dcterms:modified xsi:type="dcterms:W3CDTF">2023-04-18T14:40:00Z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2023-03-03T16:47:15Z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fc8ed8fe-be43-4aa7-91d1-d40e5ef3847b</vt:lpwstr>
  </property>
  <property fmtid="{D5CDD505-2E9C-101B-9397-08002B2CF9AE}" pid="8" name="MSIP_Label_8ca390d5-a4f3-448c-8368-24080179bc53_ContentBits">
    <vt:lpwstr>0</vt:lpwstr>
  </property>
</Properties>
</file>